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C39E5" w:rsidRPr="007200A7"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
      <w:tblGrid>
        <w:gridCol w:w="5353"/>
        <w:gridCol w:w="4428"/>
      </w:tblGrid>
      <w:tr w:rsidTr="00506F9B">
        <w:tblPrEx>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Ex>
        <w:tc>
          <w:tcPr>
            <w:tcW w:w="5353" w:type="dxa"/>
          </w:tcPr>
          <w:p w:rsidR="00197BA3" w:rsidRPr="007200A7"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P="00506F9B">
            <w:pPr>
              <w:rPr>
                <w:rFonts w:ascii="Verdana" w:hAnsi="Verdana"/>
                <w:b/>
                <w:bCs/>
                <w:iCs/>
                <w:color w:val="183850" w:themeColor="text1"/>
                <w:sz w:val="28"/>
              </w:rPr>
            </w:pPr>
          </w:p>
        </w:tc>
      </w:tr>
      <w:tr w:rsidTr="00506F9B">
        <w:tblPrEx>
          <w:tblW w:w="9781" w:type="dxa"/>
          <w:tblLook w:val="04A0"/>
        </w:tblPrEx>
        <w:tc>
          <w:tcPr>
            <w:tcW w:w="9781" w:type="dxa"/>
            <w:gridSpan w:val="2"/>
          </w:tcPr>
          <w:p w:rsidR="00197BA3" w:rsidRPr="007200A7" w:rsidP="00506F9B">
            <w:pPr>
              <w:rPr>
                <w:rFonts w:ascii="Verdana" w:hAnsi="Verdana"/>
                <w:b/>
                <w:bCs/>
                <w:iCs/>
                <w:color w:val="183850" w:themeColor="text1"/>
                <w:sz w:val="24"/>
              </w:rPr>
            </w:pPr>
          </w:p>
        </w:tc>
      </w:tr>
      <w:tr w:rsidTr="00506F9B">
        <w:tblPrEx>
          <w:tblW w:w="9781" w:type="dxa"/>
          <w:tblLook w:val="04A0"/>
        </w:tblPrEx>
        <w:tc>
          <w:tcPr>
            <w:tcW w:w="5353" w:type="dxa"/>
          </w:tcPr>
          <w:p w:rsidR="00197BA3" w:rsidRPr="007200A7"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2</w:t>
            </w:r>
            <w:r>
              <w:rPr>
                <w:rFonts w:ascii="Verdana" w:hAnsi="Verdana"/>
                <w:b/>
                <w:bCs/>
                <w:iCs/>
                <w:color w:val="183850" w:themeColor="text1"/>
                <w:sz w:val="24"/>
              </w:rPr>
              <w:t>1</w:t>
            </w:r>
            <w:r>
              <w:rPr>
                <w:rFonts w:ascii="Verdana" w:hAnsi="Verdana"/>
                <w:b/>
                <w:bCs/>
                <w:iCs/>
                <w:color w:val="183850" w:themeColor="text1"/>
                <w:sz w:val="24"/>
              </w:rPr>
              <w:t xml:space="preserve"> </w:t>
            </w:r>
            <w:r>
              <w:rPr>
                <w:rFonts w:ascii="Verdana" w:hAnsi="Verdana"/>
                <w:b/>
                <w:bCs/>
                <w:iCs/>
                <w:color w:val="183850" w:themeColor="text1"/>
                <w:sz w:val="24"/>
              </w:rPr>
              <w:t>June</w:t>
            </w:r>
            <w:r>
              <w:rPr>
                <w:rFonts w:ascii="Verdana" w:hAnsi="Verdana"/>
                <w:b/>
                <w:bCs/>
                <w:iCs/>
                <w:color w:val="183850" w:themeColor="text1"/>
                <w:sz w:val="24"/>
              </w:rPr>
              <w:t xml:space="preserve"> 2019</w:t>
            </w:r>
          </w:p>
        </w:tc>
      </w:tr>
      <w:tr w:rsidTr="00506F9B">
        <w:tblPrEx>
          <w:tblW w:w="9781" w:type="dxa"/>
          <w:tblLook w:val="04A0"/>
        </w:tblPrEx>
        <w:tc>
          <w:tcPr>
            <w:tcW w:w="5353" w:type="dxa"/>
          </w:tcPr>
          <w:p w:rsidR="00197BA3" w:rsidRPr="007200A7"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P="00506F9B">
            <w:pPr>
              <w:jc w:val="right"/>
              <w:rPr>
                <w:rFonts w:ascii="Verdana" w:hAnsi="Verdana"/>
                <w:b/>
                <w:bCs/>
                <w:iCs/>
                <w:color w:val="183850" w:themeColor="text1"/>
                <w:sz w:val="24"/>
                <w:szCs w:val="24"/>
              </w:rPr>
            </w:pPr>
          </w:p>
        </w:tc>
      </w:tr>
      <w:tr w:rsidTr="00506F9B">
        <w:tblPrEx>
          <w:tblW w:w="9781" w:type="dxa"/>
          <w:tblLook w:val="04A0"/>
        </w:tblPrEx>
        <w:tc>
          <w:tcPr>
            <w:tcW w:w="5353" w:type="dxa"/>
          </w:tcPr>
          <w:p w:rsidR="003A137F" w:rsidRPr="007200A7" w:rsidP="00506F9B">
            <w:pPr>
              <w:rPr>
                <w:rFonts w:ascii="Verdana" w:hAnsi="Verdana"/>
                <w:b/>
                <w:bCs/>
                <w:iCs/>
                <w:color w:val="183850" w:themeColor="text1"/>
                <w:sz w:val="24"/>
                <w:szCs w:val="24"/>
              </w:rPr>
            </w:pPr>
          </w:p>
        </w:tc>
        <w:tc>
          <w:tcPr>
            <w:tcW w:w="4428" w:type="dxa"/>
          </w:tcPr>
          <w:p w:rsidR="003A137F" w:rsidRPr="007200A7" w:rsidP="00506F9B">
            <w:pPr>
              <w:jc w:val="right"/>
              <w:rPr>
                <w:rFonts w:ascii="Verdana" w:hAnsi="Verdana"/>
                <w:b/>
                <w:bCs/>
                <w:iCs/>
                <w:color w:val="183850" w:themeColor="text1"/>
                <w:sz w:val="24"/>
                <w:szCs w:val="24"/>
              </w:rPr>
            </w:pPr>
          </w:p>
        </w:tc>
      </w:tr>
    </w:tbl>
    <w:p w:rsidR="00197BA3" w:rsidRPr="007200A7"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2523"/>
        <w:gridCol w:w="7229"/>
      </w:tblGrid>
      <w:tr w:rsidTr="00506F9B">
        <w:tblPrEx>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461"/>
        </w:trPr>
        <w:tc>
          <w:tcPr>
            <w:tcW w:w="2523" w:type="dxa"/>
            <w:shd w:val="clear" w:color="auto" w:fill="F2F2F2" w:themeFill="background1" w:themeFillShade="F2"/>
          </w:tcPr>
          <w:p w:rsidR="00197BA3" w:rsidRPr="007200A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P="00AC0264">
            <w:pPr>
              <w:ind w:left="1338" w:hanging="1338"/>
              <w:rPr>
                <w:rFonts w:ascii="Verdana" w:hAnsi="Verdana"/>
                <w:bCs/>
                <w:iCs/>
                <w:color w:val="183850" w:themeColor="text1"/>
                <w:sz w:val="20"/>
                <w:szCs w:val="20"/>
              </w:rPr>
            </w:pPr>
            <w:r w:rsidRPr="00AC0264">
              <w:rPr>
                <w:rFonts w:ascii="Verdana" w:hAnsi="Verdana"/>
                <w:bCs/>
                <w:sz w:val="20"/>
                <w:szCs w:val="20"/>
              </w:rPr>
              <w:t>Quarterly Report on Responsible Investment</w:t>
            </w:r>
            <w:r w:rsidRPr="00AC0264">
              <w:rPr>
                <w:rFonts w:ascii="Verdana" w:hAnsi="Verdana"/>
                <w:bCs/>
                <w:sz w:val="20"/>
                <w:szCs w:val="20"/>
              </w:rPr>
              <w:t xml:space="preserve"> (201</w:t>
            </w:r>
            <w:r>
              <w:rPr>
                <w:rFonts w:ascii="Verdana" w:hAnsi="Verdana"/>
                <w:bCs/>
                <w:sz w:val="20"/>
                <w:szCs w:val="20"/>
              </w:rPr>
              <w:t>9</w:t>
            </w:r>
            <w:r w:rsidRPr="00AC0264">
              <w:rPr>
                <w:rFonts w:ascii="Verdana" w:hAnsi="Verdana"/>
                <w:bCs/>
                <w:sz w:val="20"/>
                <w:szCs w:val="20"/>
              </w:rPr>
              <w:t xml:space="preserve"> Q</w:t>
            </w:r>
            <w:r>
              <w:rPr>
                <w:rFonts w:ascii="Verdana" w:hAnsi="Verdana"/>
                <w:bCs/>
                <w:sz w:val="20"/>
                <w:szCs w:val="20"/>
              </w:rPr>
              <w:t>1</w:t>
            </w:r>
            <w:r w:rsidRPr="00AC0264">
              <w:rPr>
                <w:rFonts w:ascii="Verdana" w:hAnsi="Verdana"/>
                <w:bCs/>
                <w:sz w:val="20"/>
                <w:szCs w:val="20"/>
              </w:rPr>
              <w:t>)</w:t>
            </w:r>
          </w:p>
        </w:tc>
      </w:tr>
      <w:tr w:rsidTr="00506F9B">
        <w:tblPrEx>
          <w:tblW w:w="9752" w:type="dxa"/>
          <w:tblInd w:w="-5" w:type="dxa"/>
          <w:tblLayout w:type="fixed"/>
          <w:tblLook w:val="04A0"/>
        </w:tblPrEx>
        <w:trPr>
          <w:trHeight w:val="632"/>
        </w:trPr>
        <w:tc>
          <w:tcPr>
            <w:tcW w:w="2523" w:type="dxa"/>
            <w:shd w:val="clear" w:color="auto" w:fill="F2F2F2" w:themeFill="background1" w:themeFillShade="F2"/>
          </w:tcPr>
          <w:p w:rsidR="00197BA3" w:rsidRPr="007200A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AC0264" w:rsidP="00AC0264">
            <w:pPr>
              <w:ind w:left="1338" w:hanging="1338"/>
              <w:rPr>
                <w:rFonts w:ascii="Verdana" w:hAnsi="Verdana"/>
                <w:bCs/>
                <w:sz w:val="20"/>
                <w:szCs w:val="20"/>
              </w:rPr>
            </w:pPr>
            <w:r w:rsidRPr="00AC0264">
              <w:rPr>
                <w:rFonts w:ascii="Verdana" w:hAnsi="Verdana"/>
                <w:bCs/>
                <w:sz w:val="20"/>
                <w:szCs w:val="20"/>
              </w:rPr>
              <w:t xml:space="preserve">Frances Deakin </w:t>
            </w:r>
          </w:p>
          <w:p w:rsidR="00197BA3" w:rsidRPr="00AC0264" w:rsidP="00AC0264">
            <w:pPr>
              <w:ind w:left="1338" w:hanging="1338"/>
              <w:rPr>
                <w:rFonts w:ascii="Verdana" w:hAnsi="Verdana"/>
                <w:bCs/>
                <w:sz w:val="20"/>
                <w:szCs w:val="20"/>
              </w:rPr>
            </w:pPr>
            <w:r>
              <w:rPr>
                <w:rFonts w:ascii="Verdana" w:hAnsi="Verdana"/>
                <w:bCs/>
                <w:sz w:val="20"/>
                <w:szCs w:val="20"/>
              </w:rPr>
              <w:t>Head of Responsible Investment</w:t>
            </w:r>
          </w:p>
          <w:p w:rsidR="00197BA3" w:rsidRPr="00AC0264" w:rsidP="00AC0264">
            <w:pPr>
              <w:ind w:left="1338" w:hanging="1338"/>
              <w:rPr>
                <w:rFonts w:ascii="Verdana" w:hAnsi="Verdana"/>
                <w:bCs/>
                <w:sz w:val="20"/>
                <w:szCs w:val="20"/>
              </w:rPr>
            </w:pPr>
            <w:r w:rsidRPr="00AC0264">
              <w:rPr>
                <w:rFonts w:ascii="Verdana" w:hAnsi="Verdana"/>
                <w:bCs/>
                <w:sz w:val="20"/>
                <w:szCs w:val="20"/>
              </w:rPr>
              <w:t xml:space="preserve">Local Pensions Partnership Investments Ltd </w:t>
            </w:r>
          </w:p>
          <w:p w:rsidR="00197BA3" w:rsidRPr="007200A7" w:rsidP="00506F9B">
            <w:pPr>
              <w:rPr>
                <w:rFonts w:ascii="Verdana" w:hAnsi="Verdana"/>
                <w:bCs/>
                <w:iCs/>
                <w:color w:val="183850" w:themeColor="text1"/>
                <w:sz w:val="20"/>
                <w:szCs w:val="20"/>
              </w:rPr>
            </w:pPr>
            <w:r>
              <w:fldChar w:fldCharType="begin"/>
            </w:r>
            <w:r>
              <w:instrText xml:space="preserve"> HYPERLINK "mailto:frances.deakin@localpensionspartnership.org.uk" </w:instrText>
            </w:r>
            <w:r>
              <w:fldChar w:fldCharType="separate"/>
            </w:r>
            <w:r w:rsidRPr="007200A7">
              <w:rPr>
                <w:rStyle w:val="Hyperlink"/>
                <w:rFonts w:ascii="Verdana" w:hAnsi="Verdana"/>
                <w:bCs/>
                <w:iCs/>
                <w:color w:val="183850" w:themeColor="text1"/>
                <w:sz w:val="20"/>
                <w:szCs w:val="20"/>
              </w:rPr>
              <w:t>frances.deakin@localpensionspartnership.org.uk</w:t>
            </w:r>
            <w:r>
              <w:fldChar w:fldCharType="end"/>
            </w:r>
          </w:p>
          <w:p w:rsidR="00197BA3" w:rsidRPr="007200A7" w:rsidP="00506F9B">
            <w:pPr>
              <w:rPr>
                <w:rFonts w:ascii="Verdana" w:hAnsi="Verdana"/>
                <w:bCs/>
                <w:iCs/>
                <w:color w:val="183850" w:themeColor="text1"/>
                <w:sz w:val="20"/>
                <w:szCs w:val="20"/>
              </w:rPr>
            </w:pPr>
          </w:p>
        </w:tc>
      </w:tr>
      <w:tr w:rsidTr="00506F9B">
        <w:tblPrEx>
          <w:tblW w:w="9752" w:type="dxa"/>
          <w:tblInd w:w="-5" w:type="dxa"/>
          <w:tblLayout w:type="fixed"/>
          <w:tblLook w:val="04A0"/>
        </w:tblPrEx>
        <w:trPr>
          <w:trHeight w:val="456"/>
        </w:trPr>
        <w:tc>
          <w:tcPr>
            <w:tcW w:w="2523" w:type="dxa"/>
            <w:shd w:val="clear" w:color="auto" w:fill="F2F2F2" w:themeFill="background1" w:themeFillShade="F2"/>
          </w:tcPr>
          <w:p w:rsidR="00197BA3" w:rsidRPr="00610859"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AC0264" w:rsidRPr="00692968" w:rsidP="008B3A19">
            <w:pPr>
              <w:ind w:left="1338" w:hanging="1338"/>
              <w:rPr>
                <w:rFonts w:ascii="Verdana" w:hAnsi="Verdana"/>
                <w:bCs/>
                <w:sz w:val="20"/>
                <w:szCs w:val="20"/>
              </w:rPr>
            </w:pPr>
            <w:r>
              <w:rPr>
                <w:rFonts w:ascii="Verdana" w:hAnsi="Verdana"/>
                <w:bCs/>
                <w:sz w:val="20"/>
                <w:szCs w:val="20"/>
              </w:rPr>
              <w:t>None</w:t>
            </w:r>
          </w:p>
          <w:p w:rsidR="00A8013C" w:rsidRPr="00AC0264" w:rsidP="00AC0264">
            <w:pPr>
              <w:rPr>
                <w:rFonts w:ascii="Verdana" w:hAnsi="Verdana"/>
                <w:bCs/>
                <w:sz w:val="20"/>
                <w:szCs w:val="20"/>
              </w:rPr>
            </w:pPr>
          </w:p>
        </w:tc>
      </w:tr>
    </w:tbl>
    <w:p w:rsidR="00B23C16" w:rsidRPr="007200A7" w:rsidP="00320885">
      <w:pPr>
        <w:spacing w:after="0" w:line="240" w:lineRule="auto"/>
        <w:rPr>
          <w:rFonts w:ascii="Verdana" w:hAnsi="Verdana" w:cs="Arial"/>
          <w:b/>
          <w:bCs/>
          <w:color w:val="183850" w:themeColor="text1"/>
          <w:sz w:val="20"/>
          <w:szCs w:val="20"/>
        </w:rPr>
      </w:pPr>
    </w:p>
    <w:p w:rsidR="00E04E31" w:rsidP="00C857CD">
      <w:pPr>
        <w:pStyle w:val="treb"/>
        <w:numPr>
          <w:ilvl w:val="0"/>
          <w:numId w:val="2"/>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 xml:space="preserve">Executive </w:t>
      </w:r>
      <w:r w:rsidRPr="008E62D7">
        <w:rPr>
          <w:rFonts w:ascii="Verdana" w:hAnsi="Verdana"/>
          <w:color w:val="54BBAB" w:themeColor="text2"/>
          <w:sz w:val="20"/>
          <w:szCs w:val="20"/>
        </w:rPr>
        <w:t>Summary</w:t>
      </w:r>
    </w:p>
    <w:p w:rsidR="00197BA3" w:rsidRPr="007200A7" w:rsidP="003B4083">
      <w:pPr>
        <w:pStyle w:val="treb"/>
        <w:numPr>
          <w:ilvl w:val="0"/>
          <w:numId w:val="0"/>
        </w:numPr>
        <w:spacing w:after="0"/>
        <w:rPr>
          <w:rFonts w:ascii="Verdana" w:hAnsi="Verdana"/>
          <w:b w:val="0"/>
          <w:color w:val="183850" w:themeColor="text1"/>
          <w:sz w:val="20"/>
          <w:szCs w:val="20"/>
        </w:rPr>
      </w:pPr>
    </w:p>
    <w:p w:rsidR="00197BA3" w:rsidRPr="00635B6D" w:rsidP="003B4083">
      <w:pPr>
        <w:pStyle w:val="treb"/>
        <w:numPr>
          <w:ilvl w:val="0"/>
          <w:numId w:val="0"/>
        </w:numPr>
        <w:spacing w:after="0"/>
        <w:rPr>
          <w:rFonts w:ascii="Verdana" w:hAnsi="Verdana"/>
          <w:b w:val="0"/>
          <w:sz w:val="20"/>
          <w:szCs w:val="20"/>
        </w:rPr>
      </w:pPr>
      <w:r w:rsidRPr="00635B6D">
        <w:rPr>
          <w:rFonts w:ascii="Verdana" w:hAnsi="Verdana"/>
          <w:b w:val="0"/>
          <w:sz w:val="20"/>
          <w:szCs w:val="20"/>
        </w:rPr>
        <w:t>This report provides members of the Pension Fund Committee of Lancashire County Pension Fund (LCPF) with a quarterly update on Responsible Investment (RI) matters.</w:t>
      </w:r>
    </w:p>
    <w:p w:rsidR="00197BA3" w:rsidRPr="00635B6D" w:rsidP="003B4083">
      <w:pPr>
        <w:pStyle w:val="treb"/>
        <w:numPr>
          <w:ilvl w:val="0"/>
          <w:numId w:val="0"/>
        </w:numPr>
        <w:spacing w:after="0"/>
        <w:rPr>
          <w:rFonts w:ascii="Verdana" w:hAnsi="Verdana"/>
          <w:b w:val="0"/>
          <w:sz w:val="20"/>
          <w:szCs w:val="20"/>
        </w:rPr>
      </w:pPr>
    </w:p>
    <w:p w:rsidR="00320885" w:rsidRPr="00635B6D" w:rsidP="00C857CD">
      <w:pPr>
        <w:pStyle w:val="treb"/>
        <w:numPr>
          <w:ilvl w:val="0"/>
          <w:numId w:val="2"/>
        </w:numPr>
        <w:spacing w:after="0"/>
        <w:ind w:left="0" w:firstLine="0"/>
        <w:rPr>
          <w:rFonts w:ascii="Verdana" w:hAnsi="Verdana"/>
          <w:sz w:val="20"/>
          <w:szCs w:val="20"/>
        </w:rPr>
      </w:pPr>
      <w:r w:rsidRPr="00635B6D">
        <w:rPr>
          <w:rFonts w:ascii="Verdana" w:hAnsi="Verdana"/>
          <w:sz w:val="20"/>
          <w:szCs w:val="20"/>
        </w:rPr>
        <w:t>Introduction</w:t>
      </w:r>
    </w:p>
    <w:p w:rsidR="00197BA3" w:rsidRPr="007200A7" w:rsidP="003B4083">
      <w:pPr>
        <w:autoSpaceDE w:val="0"/>
        <w:autoSpaceDN w:val="0"/>
        <w:adjustRightInd w:val="0"/>
        <w:spacing w:after="0"/>
        <w:jc w:val="both"/>
        <w:rPr>
          <w:rFonts w:ascii="Verdana" w:hAnsi="Verdana"/>
          <w:color w:val="183850" w:themeColor="text1"/>
          <w:sz w:val="20"/>
          <w:szCs w:val="20"/>
        </w:rPr>
      </w:pPr>
    </w:p>
    <w:p w:rsidR="00197BA3" w:rsidRPr="00635B6D" w:rsidP="003B4083">
      <w:pPr>
        <w:autoSpaceDE w:val="0"/>
        <w:autoSpaceDN w:val="0"/>
        <w:adjustRightInd w:val="0"/>
        <w:spacing w:after="0"/>
        <w:jc w:val="both"/>
        <w:rPr>
          <w:rFonts w:ascii="Verdana" w:hAnsi="Verdana" w:cs="TT3BA2o00"/>
          <w:sz w:val="20"/>
          <w:szCs w:val="20"/>
        </w:rPr>
      </w:pPr>
      <w:r w:rsidRPr="00635B6D">
        <w:rPr>
          <w:rFonts w:ascii="Verdana" w:hAnsi="Verdana"/>
          <w:sz w:val="20"/>
          <w:szCs w:val="20"/>
        </w:rPr>
        <w:t xml:space="preserve">The Fund's approach to RI </w:t>
      </w:r>
      <w:r w:rsidRPr="00635B6D">
        <w:rPr>
          <w:rFonts w:ascii="Verdana" w:hAnsi="Verdana"/>
          <w:sz w:val="20"/>
          <w:szCs w:val="20"/>
        </w:rPr>
        <w:t>is</w:t>
      </w:r>
      <w:r w:rsidRPr="00635B6D">
        <w:rPr>
          <w:rFonts w:ascii="Verdana" w:hAnsi="Verdana"/>
          <w:sz w:val="20"/>
          <w:szCs w:val="20"/>
        </w:rPr>
        <w:t xml:space="preserve"> </w:t>
      </w:r>
      <w:r w:rsidRPr="00635B6D">
        <w:rPr>
          <w:rFonts w:ascii="Verdana" w:hAnsi="Verdana"/>
          <w:sz w:val="20"/>
          <w:szCs w:val="20"/>
        </w:rPr>
        <w:t>articulated</w:t>
      </w:r>
      <w:r w:rsidRPr="00635B6D">
        <w:rPr>
          <w:rFonts w:ascii="Verdana" w:hAnsi="Verdana"/>
          <w:sz w:val="20"/>
          <w:szCs w:val="20"/>
        </w:rPr>
        <w:t xml:space="preserve"> </w:t>
      </w:r>
      <w:r w:rsidRPr="00635B6D">
        <w:rPr>
          <w:rFonts w:ascii="Verdana" w:hAnsi="Verdana"/>
          <w:sz w:val="20"/>
          <w:szCs w:val="20"/>
        </w:rPr>
        <w:t xml:space="preserve">within </w:t>
      </w:r>
      <w:r w:rsidRPr="00635B6D">
        <w:rPr>
          <w:rFonts w:ascii="Verdana" w:hAnsi="Verdana"/>
          <w:sz w:val="20"/>
          <w:szCs w:val="20"/>
        </w:rPr>
        <w:t>an</w:t>
      </w:r>
      <w:r w:rsidRPr="00635B6D">
        <w:rPr>
          <w:rFonts w:ascii="Verdana" w:hAnsi="Verdana"/>
          <w:sz w:val="20"/>
          <w:szCs w:val="20"/>
        </w:rPr>
        <w:t xml:space="preserve"> Investment </w:t>
      </w:r>
      <w:r w:rsidRPr="00635B6D">
        <w:rPr>
          <w:rFonts w:ascii="Verdana" w:hAnsi="Verdana"/>
          <w:sz w:val="20"/>
          <w:szCs w:val="20"/>
        </w:rPr>
        <w:t xml:space="preserve">Strategy Statement </w:t>
      </w:r>
      <w:r w:rsidRPr="00635B6D">
        <w:rPr>
          <w:rFonts w:ascii="Verdana" w:hAnsi="Verdana"/>
          <w:sz w:val="20"/>
          <w:szCs w:val="20"/>
        </w:rPr>
        <w:t xml:space="preserve">(ISS) </w:t>
      </w:r>
      <w:r w:rsidRPr="00635B6D">
        <w:rPr>
          <w:rFonts w:ascii="Verdana" w:hAnsi="Verdana"/>
          <w:sz w:val="20"/>
          <w:szCs w:val="20"/>
        </w:rPr>
        <w:t>which</w:t>
      </w:r>
      <w:r w:rsidRPr="00635B6D">
        <w:rPr>
          <w:rFonts w:ascii="Verdana" w:hAnsi="Verdana"/>
          <w:sz w:val="20"/>
          <w:szCs w:val="20"/>
        </w:rPr>
        <w:t xml:space="preserve"> </w:t>
      </w:r>
      <w:r w:rsidRPr="00635B6D">
        <w:rPr>
          <w:rFonts w:ascii="Verdana" w:hAnsi="Verdana"/>
          <w:sz w:val="20"/>
          <w:szCs w:val="20"/>
        </w:rPr>
        <w:t xml:space="preserve">confirms that the objective of RI is to decrease investor risk, improve risk-adjusted returns and </w:t>
      </w:r>
      <w:r w:rsidRPr="00635B6D">
        <w:rPr>
          <w:rFonts w:ascii="Verdana" w:hAnsi="Verdana" w:cs="TT3B97o00"/>
          <w:sz w:val="20"/>
          <w:szCs w:val="20"/>
        </w:rPr>
        <w:t>assist</w:t>
      </w:r>
      <w:r w:rsidRPr="00635B6D">
        <w:rPr>
          <w:rFonts w:ascii="Verdana" w:hAnsi="Verdana" w:cs="TT3B97o00"/>
          <w:sz w:val="20"/>
          <w:szCs w:val="20"/>
        </w:rPr>
        <w:t xml:space="preserve"> the Fund</w:t>
      </w:r>
      <w:r w:rsidRPr="00635B6D">
        <w:rPr>
          <w:rFonts w:ascii="Verdana" w:hAnsi="Verdana" w:cs="TT3B97o00"/>
          <w:sz w:val="20"/>
          <w:szCs w:val="20"/>
        </w:rPr>
        <w:t xml:space="preserve">'s </w:t>
      </w:r>
      <w:r w:rsidRPr="00635B6D">
        <w:rPr>
          <w:rFonts w:ascii="Verdana" w:hAnsi="Verdana" w:cs="TT3B97o00"/>
          <w:sz w:val="20"/>
          <w:szCs w:val="20"/>
        </w:rPr>
        <w:t>adhere</w:t>
      </w:r>
      <w:r w:rsidRPr="00635B6D">
        <w:rPr>
          <w:rFonts w:ascii="Verdana" w:hAnsi="Verdana" w:cs="TT3B97o00"/>
          <w:sz w:val="20"/>
          <w:szCs w:val="20"/>
        </w:rPr>
        <w:t>nce</w:t>
      </w:r>
      <w:r w:rsidRPr="00635B6D">
        <w:rPr>
          <w:rFonts w:ascii="Verdana" w:hAnsi="Verdana" w:cs="TT3B97o00"/>
          <w:sz w:val="20"/>
          <w:szCs w:val="20"/>
        </w:rPr>
        <w:t xml:space="preserve"> to the UK Stewardship Code. </w:t>
      </w:r>
      <w:r w:rsidRPr="00635B6D">
        <w:rPr>
          <w:rFonts w:ascii="Verdana" w:hAnsi="Verdana" w:cs="TT3B97o00"/>
          <w:sz w:val="20"/>
          <w:szCs w:val="20"/>
        </w:rPr>
        <w:t>LCPF’s</w:t>
      </w:r>
      <w:r w:rsidRPr="00635B6D">
        <w:rPr>
          <w:rFonts w:ascii="Verdana" w:hAnsi="Verdana" w:cs="TT3B97o00"/>
          <w:sz w:val="20"/>
          <w:szCs w:val="20"/>
        </w:rPr>
        <w:t xml:space="preserve"> ISS </w:t>
      </w:r>
      <w:r w:rsidRPr="00635B6D">
        <w:rPr>
          <w:rFonts w:ascii="Verdana" w:hAnsi="Verdana" w:cs="TT3B97o00"/>
          <w:sz w:val="20"/>
          <w:szCs w:val="20"/>
        </w:rPr>
        <w:t>is supplemented by</w:t>
      </w:r>
      <w:r w:rsidRPr="00635B6D">
        <w:rPr>
          <w:rFonts w:ascii="Verdana" w:hAnsi="Verdana" w:cs="TT3B97o00"/>
          <w:sz w:val="20"/>
          <w:szCs w:val="20"/>
        </w:rPr>
        <w:t xml:space="preserve"> </w:t>
      </w:r>
      <w:r w:rsidRPr="00635B6D">
        <w:rPr>
          <w:rFonts w:ascii="Verdana" w:hAnsi="Verdana" w:cs="TT3B97o00"/>
          <w:sz w:val="20"/>
          <w:szCs w:val="20"/>
        </w:rPr>
        <w:t>a</w:t>
      </w:r>
      <w:r w:rsidRPr="00635B6D">
        <w:rPr>
          <w:rFonts w:ascii="Verdana" w:hAnsi="Verdana" w:cs="TT3B97o00"/>
          <w:sz w:val="20"/>
          <w:szCs w:val="20"/>
        </w:rPr>
        <w:t xml:space="preserve"> Responsible Investment Policy </w:t>
      </w:r>
      <w:r w:rsidRPr="00635B6D">
        <w:rPr>
          <w:rFonts w:ascii="Verdana" w:hAnsi="Verdana" w:cs="TT3B97o00"/>
          <w:sz w:val="20"/>
          <w:szCs w:val="20"/>
        </w:rPr>
        <w:t xml:space="preserve">which </w:t>
      </w:r>
      <w:r w:rsidRPr="00635B6D">
        <w:rPr>
          <w:rFonts w:ascii="Verdana" w:hAnsi="Verdana" w:cs="TT3B97o00"/>
          <w:sz w:val="20"/>
          <w:szCs w:val="20"/>
        </w:rPr>
        <w:t>explains that t</w:t>
      </w:r>
      <w:r w:rsidRPr="00635B6D">
        <w:rPr>
          <w:rFonts w:ascii="Verdana" w:hAnsi="Verdana" w:cs="TT3B97o00"/>
          <w:sz w:val="20"/>
          <w:szCs w:val="20"/>
        </w:rPr>
        <w:t xml:space="preserve">he </w:t>
      </w:r>
      <w:r w:rsidRPr="00635B6D">
        <w:rPr>
          <w:rFonts w:ascii="Verdana" w:hAnsi="Verdana" w:cs="TT3B97o00"/>
          <w:sz w:val="20"/>
          <w:szCs w:val="20"/>
        </w:rPr>
        <w:t xml:space="preserve">Fund's </w:t>
      </w:r>
      <w:r w:rsidRPr="00635B6D">
        <w:rPr>
          <w:rFonts w:ascii="Verdana" w:hAnsi="Verdana" w:cs="TT3B97o00"/>
          <w:sz w:val="20"/>
          <w:szCs w:val="20"/>
        </w:rPr>
        <w:t xml:space="preserve">preferred </w:t>
      </w:r>
      <w:r w:rsidRPr="00635B6D">
        <w:rPr>
          <w:rFonts w:ascii="Verdana" w:hAnsi="Verdana" w:cs="TT3B97o00"/>
          <w:sz w:val="20"/>
          <w:szCs w:val="20"/>
        </w:rPr>
        <w:t xml:space="preserve">approach </w:t>
      </w:r>
      <w:r w:rsidRPr="00635B6D">
        <w:rPr>
          <w:rFonts w:ascii="Verdana" w:hAnsi="Verdana" w:cs="TT3B97o00"/>
          <w:sz w:val="20"/>
          <w:szCs w:val="20"/>
        </w:rPr>
        <w:t xml:space="preserve">to RI </w:t>
      </w:r>
      <w:r w:rsidRPr="00635B6D">
        <w:rPr>
          <w:rFonts w:ascii="Verdana" w:hAnsi="Verdana" w:cs="TT3B97o00"/>
          <w:sz w:val="20"/>
          <w:szCs w:val="20"/>
        </w:rPr>
        <w:t>encompasses</w:t>
      </w:r>
      <w:r w:rsidRPr="00635B6D">
        <w:rPr>
          <w:rFonts w:ascii="Verdana" w:hAnsi="Verdana" w:cs="TT3B97o00"/>
          <w:sz w:val="20"/>
          <w:szCs w:val="20"/>
        </w:rPr>
        <w:t xml:space="preserve"> four main areas of activity:</w:t>
      </w:r>
    </w:p>
    <w:p w:rsidR="00197BA3" w:rsidRPr="00635B6D"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Voting Globally</w:t>
      </w:r>
    </w:p>
    <w:p w:rsidR="00197BA3" w:rsidRPr="00635B6D"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Engagement through Partnerships</w:t>
      </w:r>
    </w:p>
    <w:p w:rsidR="00197BA3" w:rsidRPr="00635B6D"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Shareholder Litigation</w:t>
      </w:r>
    </w:p>
    <w:p w:rsidR="00197BA3" w:rsidRPr="00635B6D"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Active Investing</w:t>
      </w:r>
    </w:p>
    <w:p w:rsidR="006403C0" w:rsidRPr="00635B6D" w:rsidP="003B4083">
      <w:pPr>
        <w:autoSpaceDE w:val="0"/>
        <w:autoSpaceDN w:val="0"/>
        <w:adjustRightInd w:val="0"/>
        <w:spacing w:after="0"/>
        <w:jc w:val="both"/>
        <w:rPr>
          <w:rFonts w:ascii="Verdana" w:hAnsi="Verdana" w:cs="TT3B97o00"/>
          <w:sz w:val="20"/>
          <w:szCs w:val="20"/>
        </w:rPr>
      </w:pPr>
    </w:p>
    <w:p w:rsidR="00197BA3" w:rsidRPr="00635B6D" w:rsidP="00692968">
      <w:pPr>
        <w:pStyle w:val="treb"/>
        <w:numPr>
          <w:ilvl w:val="0"/>
          <w:numId w:val="0"/>
        </w:numPr>
        <w:spacing w:after="0"/>
        <w:rPr>
          <w:rFonts w:ascii="Verdana" w:hAnsi="Verdana"/>
          <w:b w:val="0"/>
          <w:sz w:val="20"/>
          <w:szCs w:val="20"/>
        </w:rPr>
      </w:pPr>
      <w:r w:rsidRPr="00635B6D">
        <w:rPr>
          <w:rFonts w:ascii="Verdana" w:hAnsi="Verdana"/>
          <w:b w:val="0"/>
          <w:sz w:val="20"/>
          <w:szCs w:val="20"/>
        </w:rPr>
        <w:t>Responsibility for</w:t>
      </w:r>
      <w:r w:rsidRPr="00635B6D">
        <w:rPr>
          <w:rFonts w:ascii="Verdana" w:hAnsi="Verdana"/>
          <w:b w:val="0"/>
          <w:sz w:val="20"/>
          <w:szCs w:val="20"/>
        </w:rPr>
        <w:t xml:space="preserve"> </w:t>
      </w:r>
      <w:r w:rsidRPr="00635B6D">
        <w:rPr>
          <w:rFonts w:ascii="Verdana" w:hAnsi="Verdana"/>
          <w:b w:val="0"/>
          <w:sz w:val="20"/>
          <w:szCs w:val="20"/>
        </w:rPr>
        <w:t xml:space="preserve">the </w:t>
      </w:r>
      <w:r w:rsidRPr="00635B6D">
        <w:rPr>
          <w:rFonts w:ascii="Verdana" w:hAnsi="Verdana"/>
          <w:b w:val="0"/>
          <w:sz w:val="20"/>
          <w:szCs w:val="20"/>
        </w:rPr>
        <w:t>practical implementation</w:t>
      </w:r>
      <w:r w:rsidRPr="00635B6D">
        <w:rPr>
          <w:rFonts w:ascii="Verdana" w:hAnsi="Verdana"/>
          <w:b w:val="0"/>
          <w:sz w:val="20"/>
          <w:szCs w:val="20"/>
        </w:rPr>
        <w:t xml:space="preserve"> of the Fund's approach to RI is </w:t>
      </w:r>
      <w:r w:rsidRPr="00635B6D">
        <w:rPr>
          <w:rFonts w:ascii="Verdana" w:hAnsi="Verdana"/>
          <w:b w:val="0"/>
          <w:sz w:val="20"/>
          <w:szCs w:val="20"/>
        </w:rPr>
        <w:t>devolved to L</w:t>
      </w:r>
      <w:r w:rsidRPr="00635B6D">
        <w:rPr>
          <w:rFonts w:ascii="Verdana" w:hAnsi="Verdana"/>
          <w:b w:val="0"/>
          <w:sz w:val="20"/>
          <w:szCs w:val="20"/>
        </w:rPr>
        <w:t xml:space="preserve">ocal Pensions </w:t>
      </w:r>
      <w:r w:rsidRPr="00635B6D">
        <w:rPr>
          <w:rFonts w:ascii="Verdana" w:hAnsi="Verdana"/>
          <w:b w:val="0"/>
          <w:sz w:val="20"/>
          <w:szCs w:val="20"/>
        </w:rPr>
        <w:t>P</w:t>
      </w:r>
      <w:r w:rsidRPr="00635B6D">
        <w:rPr>
          <w:rFonts w:ascii="Verdana" w:hAnsi="Verdana"/>
          <w:b w:val="0"/>
          <w:sz w:val="20"/>
          <w:szCs w:val="20"/>
        </w:rPr>
        <w:t xml:space="preserve">artnership </w:t>
      </w:r>
      <w:r w:rsidRPr="00635B6D">
        <w:rPr>
          <w:rFonts w:ascii="Verdana" w:hAnsi="Verdana"/>
          <w:b w:val="0"/>
          <w:sz w:val="20"/>
          <w:szCs w:val="20"/>
        </w:rPr>
        <w:t>I</w:t>
      </w:r>
      <w:r w:rsidRPr="00635B6D">
        <w:rPr>
          <w:rFonts w:ascii="Verdana" w:hAnsi="Verdana"/>
          <w:b w:val="0"/>
          <w:sz w:val="20"/>
          <w:szCs w:val="20"/>
        </w:rPr>
        <w:t>nvestments Ltd (LPPI)</w:t>
      </w:r>
      <w:r w:rsidRPr="00635B6D">
        <w:rPr>
          <w:rFonts w:ascii="Verdana" w:hAnsi="Verdana"/>
          <w:b w:val="0"/>
          <w:sz w:val="20"/>
          <w:szCs w:val="20"/>
        </w:rPr>
        <w:t xml:space="preserve"> as LCPF's provider of investment management services.</w:t>
      </w:r>
      <w:r w:rsidRPr="00635B6D">
        <w:rPr>
          <w:rFonts w:ascii="Verdana" w:hAnsi="Verdana"/>
          <w:b w:val="0"/>
          <w:sz w:val="20"/>
          <w:szCs w:val="20"/>
        </w:rPr>
        <w:t xml:space="preserve"> The report which follows provides </w:t>
      </w:r>
      <w:r w:rsidRPr="00635B6D">
        <w:rPr>
          <w:rFonts w:ascii="Verdana" w:hAnsi="Verdana"/>
          <w:b w:val="0"/>
          <w:sz w:val="20"/>
          <w:szCs w:val="20"/>
        </w:rPr>
        <w:t xml:space="preserve">the </w:t>
      </w:r>
      <w:r w:rsidRPr="00635B6D">
        <w:rPr>
          <w:rFonts w:ascii="Verdana" w:hAnsi="Verdana"/>
          <w:b w:val="0"/>
          <w:sz w:val="20"/>
          <w:szCs w:val="20"/>
        </w:rPr>
        <w:t>C</w:t>
      </w:r>
      <w:r w:rsidRPr="00635B6D">
        <w:rPr>
          <w:rFonts w:ascii="Verdana" w:hAnsi="Verdana"/>
          <w:b w:val="0"/>
          <w:sz w:val="20"/>
          <w:szCs w:val="20"/>
        </w:rPr>
        <w:t xml:space="preserve">ommittee with </w:t>
      </w:r>
      <w:r w:rsidRPr="00635B6D">
        <w:rPr>
          <w:rFonts w:ascii="Verdana" w:hAnsi="Verdana"/>
          <w:b w:val="0"/>
          <w:sz w:val="20"/>
          <w:szCs w:val="20"/>
        </w:rPr>
        <w:t xml:space="preserve">an update on RI activity </w:t>
      </w:r>
      <w:r w:rsidRPr="00635B6D">
        <w:rPr>
          <w:rFonts w:ascii="Verdana" w:hAnsi="Verdana"/>
          <w:b w:val="0"/>
          <w:sz w:val="20"/>
          <w:szCs w:val="20"/>
        </w:rPr>
        <w:t>during</w:t>
      </w:r>
      <w:r w:rsidRPr="00635B6D">
        <w:rPr>
          <w:rFonts w:ascii="Verdana" w:hAnsi="Verdana"/>
          <w:b w:val="0"/>
          <w:sz w:val="20"/>
          <w:szCs w:val="20"/>
        </w:rPr>
        <w:t xml:space="preserve"> the period </w:t>
      </w:r>
      <w:r w:rsidRPr="00635B6D">
        <w:rPr>
          <w:rFonts w:ascii="Verdana" w:hAnsi="Verdana"/>
          <w:b w:val="0"/>
          <w:sz w:val="20"/>
          <w:szCs w:val="20"/>
        </w:rPr>
        <w:t xml:space="preserve">1 </w:t>
      </w:r>
      <w:r>
        <w:rPr>
          <w:rFonts w:ascii="Verdana" w:hAnsi="Verdana"/>
          <w:b w:val="0"/>
          <w:sz w:val="20"/>
          <w:szCs w:val="20"/>
        </w:rPr>
        <w:t>January</w:t>
      </w:r>
      <w:r>
        <w:rPr>
          <w:rFonts w:ascii="Verdana" w:hAnsi="Verdana"/>
          <w:b w:val="0"/>
          <w:sz w:val="20"/>
          <w:szCs w:val="20"/>
        </w:rPr>
        <w:t xml:space="preserve"> t</w:t>
      </w:r>
      <w:r>
        <w:rPr>
          <w:rFonts w:ascii="Verdana" w:hAnsi="Verdana"/>
          <w:b w:val="0"/>
          <w:sz w:val="20"/>
          <w:szCs w:val="20"/>
        </w:rPr>
        <w:t>o 3</w:t>
      </w:r>
      <w:r>
        <w:rPr>
          <w:rFonts w:ascii="Verdana" w:hAnsi="Verdana"/>
          <w:b w:val="0"/>
          <w:sz w:val="20"/>
          <w:szCs w:val="20"/>
        </w:rPr>
        <w:t>1</w:t>
      </w:r>
      <w:r>
        <w:rPr>
          <w:rFonts w:ascii="Verdana" w:hAnsi="Verdana"/>
          <w:b w:val="0"/>
          <w:sz w:val="20"/>
          <w:szCs w:val="20"/>
        </w:rPr>
        <w:t xml:space="preserve"> </w:t>
      </w:r>
      <w:r>
        <w:rPr>
          <w:rFonts w:ascii="Verdana" w:hAnsi="Verdana"/>
          <w:b w:val="0"/>
          <w:sz w:val="20"/>
          <w:szCs w:val="20"/>
        </w:rPr>
        <w:t>March</w:t>
      </w:r>
      <w:r w:rsidRPr="00635B6D">
        <w:rPr>
          <w:rFonts w:ascii="Verdana" w:hAnsi="Verdana"/>
          <w:b w:val="0"/>
          <w:sz w:val="20"/>
          <w:szCs w:val="20"/>
        </w:rPr>
        <w:t xml:space="preserve"> </w:t>
      </w:r>
      <w:r w:rsidRPr="00635B6D">
        <w:rPr>
          <w:rFonts w:ascii="Verdana" w:hAnsi="Verdana"/>
          <w:b w:val="0"/>
          <w:sz w:val="20"/>
          <w:szCs w:val="20"/>
        </w:rPr>
        <w:t>201</w:t>
      </w:r>
      <w:r>
        <w:rPr>
          <w:rFonts w:ascii="Verdana" w:hAnsi="Verdana"/>
          <w:b w:val="0"/>
          <w:sz w:val="20"/>
          <w:szCs w:val="20"/>
        </w:rPr>
        <w:t>9</w:t>
      </w:r>
      <w:r w:rsidRPr="00635B6D">
        <w:rPr>
          <w:rFonts w:ascii="Verdana" w:hAnsi="Verdana"/>
          <w:b w:val="0"/>
          <w:sz w:val="20"/>
          <w:szCs w:val="20"/>
        </w:rPr>
        <w:t xml:space="preserve"> plus insight</w:t>
      </w:r>
      <w:r>
        <w:rPr>
          <w:rFonts w:ascii="Verdana" w:hAnsi="Verdana"/>
          <w:b w:val="0"/>
          <w:sz w:val="20"/>
          <w:szCs w:val="20"/>
        </w:rPr>
        <w:t>s</w:t>
      </w:r>
      <w:r w:rsidRPr="00635B6D">
        <w:rPr>
          <w:rFonts w:ascii="Verdana" w:hAnsi="Verdana"/>
          <w:b w:val="0"/>
          <w:sz w:val="20"/>
          <w:szCs w:val="20"/>
        </w:rPr>
        <w:t xml:space="preserve"> on current and emerging issues</w:t>
      </w:r>
      <w:r w:rsidRPr="00635B6D">
        <w:rPr>
          <w:rFonts w:ascii="Verdana" w:hAnsi="Verdana"/>
          <w:b w:val="0"/>
          <w:sz w:val="20"/>
          <w:szCs w:val="20"/>
        </w:rPr>
        <w:t xml:space="preserve">. </w:t>
      </w:r>
    </w:p>
    <w:p w:rsidR="00F83B47" w:rsidRPr="007200A7" w:rsidP="003B4083">
      <w:pPr>
        <w:autoSpaceDE w:val="0"/>
        <w:autoSpaceDN w:val="0"/>
        <w:adjustRightInd w:val="0"/>
        <w:spacing w:after="0"/>
        <w:jc w:val="both"/>
        <w:rPr>
          <w:rFonts w:ascii="Verdana" w:hAnsi="Verdana" w:cs="TT3BA2o00"/>
          <w:color w:val="183850" w:themeColor="text1"/>
          <w:sz w:val="20"/>
          <w:szCs w:val="20"/>
        </w:rPr>
      </w:pPr>
    </w:p>
    <w:p w:rsidR="00197BA3" w:rsidRPr="008E62D7" w:rsidP="00C857CD">
      <w:pPr>
        <w:pStyle w:val="treb"/>
        <w:numPr>
          <w:ilvl w:val="0"/>
          <w:numId w:val="2"/>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P="003B4083">
      <w:pPr>
        <w:pStyle w:val="treb"/>
        <w:numPr>
          <w:ilvl w:val="0"/>
          <w:numId w:val="0"/>
        </w:numPr>
        <w:spacing w:after="0"/>
        <w:rPr>
          <w:rFonts w:ascii="Verdana" w:hAnsi="Verdana"/>
          <w:color w:val="183850" w:themeColor="text1"/>
          <w:sz w:val="20"/>
          <w:szCs w:val="20"/>
        </w:rPr>
      </w:pPr>
    </w:p>
    <w:p w:rsidR="00B7162D" w:rsidRPr="00635B6D"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Through its investment in the LPPI Global Equities Fund (GEF) </w:t>
      </w:r>
      <w:r w:rsidRPr="00635B6D">
        <w:rPr>
          <w:rFonts w:ascii="Verdana" w:hAnsi="Verdana" w:cs="Arial"/>
          <w:bCs/>
          <w:sz w:val="20"/>
          <w:szCs w:val="20"/>
        </w:rPr>
        <w:t xml:space="preserve">LCPF </w:t>
      </w:r>
      <w:r w:rsidRPr="00635B6D">
        <w:rPr>
          <w:rFonts w:ascii="Verdana" w:hAnsi="Verdana" w:cs="Arial"/>
          <w:bCs/>
          <w:sz w:val="20"/>
          <w:szCs w:val="20"/>
        </w:rPr>
        <w:t>own</w:t>
      </w:r>
      <w:r w:rsidRPr="00635B6D">
        <w:rPr>
          <w:rFonts w:ascii="Verdana" w:hAnsi="Verdana" w:cs="Arial"/>
          <w:bCs/>
          <w:sz w:val="20"/>
          <w:szCs w:val="20"/>
        </w:rPr>
        <w:t>s</w:t>
      </w:r>
      <w:r w:rsidRPr="00635B6D">
        <w:rPr>
          <w:rFonts w:ascii="Verdana" w:hAnsi="Verdana" w:cs="Arial"/>
          <w:bCs/>
          <w:sz w:val="20"/>
          <w:szCs w:val="20"/>
        </w:rPr>
        <w:t xml:space="preserve"> units in a pooled fund which invests in listed companies </w:t>
      </w:r>
      <w:r w:rsidRPr="00635B6D">
        <w:rPr>
          <w:rFonts w:ascii="Verdana" w:hAnsi="Verdana" w:cs="Arial"/>
          <w:bCs/>
          <w:sz w:val="20"/>
          <w:szCs w:val="20"/>
        </w:rPr>
        <w:t>globally</w:t>
      </w:r>
      <w:r w:rsidRPr="00635B6D">
        <w:rPr>
          <w:rFonts w:ascii="Verdana" w:hAnsi="Verdana" w:cs="Arial"/>
          <w:bCs/>
          <w:sz w:val="20"/>
          <w:szCs w:val="20"/>
        </w:rPr>
        <w:t>.</w:t>
      </w:r>
      <w:r w:rsidRPr="00635B6D">
        <w:rPr>
          <w:rFonts w:ascii="Verdana" w:hAnsi="Verdana" w:cs="Arial"/>
          <w:bCs/>
          <w:sz w:val="20"/>
          <w:szCs w:val="20"/>
        </w:rPr>
        <w:t xml:space="preserve"> </w:t>
      </w:r>
      <w:r w:rsidRPr="00635B6D">
        <w:rPr>
          <w:rFonts w:ascii="Verdana" w:hAnsi="Verdana" w:cs="Arial"/>
          <w:bCs/>
          <w:sz w:val="20"/>
          <w:szCs w:val="20"/>
        </w:rPr>
        <w:t>Investors</w:t>
      </w:r>
      <w:r w:rsidRPr="00635B6D">
        <w:rPr>
          <w:rFonts w:ascii="Verdana" w:hAnsi="Verdana" w:cs="Arial"/>
          <w:bCs/>
          <w:sz w:val="20"/>
          <w:szCs w:val="20"/>
        </w:rPr>
        <w:t xml:space="preserve"> in the GEF delegate the control and exercise of shareholder voting to LPPI. This</w:t>
      </w:r>
      <w:r w:rsidRPr="00635B6D">
        <w:rPr>
          <w:rFonts w:ascii="Verdana" w:hAnsi="Verdana" w:cs="Arial"/>
          <w:sz w:val="20"/>
          <w:szCs w:val="20"/>
        </w:rPr>
        <w:t xml:space="preserve"> </w:t>
      </w:r>
      <w:r w:rsidRPr="00635B6D">
        <w:rPr>
          <w:rFonts w:ascii="Verdana" w:hAnsi="Verdana" w:cs="Arial"/>
          <w:bCs/>
          <w:sz w:val="20"/>
          <w:szCs w:val="20"/>
        </w:rPr>
        <w:t>reflects that c</w:t>
      </w:r>
      <w:r w:rsidRPr="00635B6D">
        <w:rPr>
          <w:rFonts w:ascii="Verdana" w:hAnsi="Verdana" w:cs="Arial"/>
          <w:bCs/>
          <w:sz w:val="20"/>
          <w:szCs w:val="20"/>
        </w:rPr>
        <w:t>lients</w:t>
      </w:r>
      <w:r w:rsidRPr="00635B6D">
        <w:rPr>
          <w:rFonts w:ascii="Verdana" w:hAnsi="Verdana" w:cs="Arial"/>
          <w:bCs/>
          <w:sz w:val="20"/>
          <w:szCs w:val="20"/>
        </w:rPr>
        <w:t xml:space="preserve"> </w:t>
      </w:r>
      <w:r w:rsidRPr="00635B6D">
        <w:rPr>
          <w:rFonts w:ascii="Verdana" w:hAnsi="Verdana" w:cs="Arial"/>
          <w:bCs/>
          <w:sz w:val="20"/>
          <w:szCs w:val="20"/>
        </w:rPr>
        <w:t>owning</w:t>
      </w:r>
      <w:r w:rsidRPr="00635B6D">
        <w:rPr>
          <w:rFonts w:ascii="Verdana" w:hAnsi="Verdana" w:cs="Arial"/>
          <w:bCs/>
          <w:sz w:val="20"/>
          <w:szCs w:val="20"/>
        </w:rPr>
        <w:t xml:space="preserve"> units in the GEF</w:t>
      </w:r>
      <w:r w:rsidRPr="00635B6D">
        <w:rPr>
          <w:rFonts w:ascii="Verdana" w:hAnsi="Verdana" w:cs="Arial"/>
          <w:bCs/>
          <w:sz w:val="20"/>
          <w:szCs w:val="20"/>
        </w:rPr>
        <w:t xml:space="preserve"> </w:t>
      </w:r>
      <w:r w:rsidRPr="00635B6D">
        <w:rPr>
          <w:rFonts w:ascii="Verdana" w:hAnsi="Verdana" w:cs="Arial"/>
          <w:bCs/>
          <w:sz w:val="20"/>
          <w:szCs w:val="20"/>
        </w:rPr>
        <w:t xml:space="preserve">are beneficial owners </w:t>
      </w:r>
      <w:r w:rsidRPr="00635B6D">
        <w:rPr>
          <w:rFonts w:ascii="Verdana" w:hAnsi="Verdana" w:cs="Arial"/>
          <w:bCs/>
          <w:sz w:val="20"/>
          <w:szCs w:val="20"/>
        </w:rPr>
        <w:t xml:space="preserve">in common </w:t>
      </w:r>
      <w:r w:rsidRPr="00635B6D">
        <w:rPr>
          <w:rFonts w:ascii="Verdana" w:hAnsi="Verdana" w:cs="Arial"/>
          <w:bCs/>
          <w:sz w:val="20"/>
          <w:szCs w:val="20"/>
        </w:rPr>
        <w:t xml:space="preserve">but </w:t>
      </w:r>
      <w:r w:rsidRPr="00635B6D">
        <w:rPr>
          <w:rFonts w:ascii="Verdana" w:hAnsi="Verdana" w:cs="Arial"/>
          <w:bCs/>
          <w:sz w:val="20"/>
          <w:szCs w:val="20"/>
        </w:rPr>
        <w:t xml:space="preserve">do </w:t>
      </w:r>
      <w:r w:rsidRPr="00635B6D">
        <w:rPr>
          <w:rFonts w:ascii="Verdana" w:hAnsi="Verdana" w:cs="Arial"/>
          <w:bCs/>
          <w:sz w:val="20"/>
          <w:szCs w:val="20"/>
        </w:rPr>
        <w:t xml:space="preserve">not </w:t>
      </w:r>
      <w:r w:rsidRPr="00635B6D">
        <w:rPr>
          <w:rFonts w:ascii="Verdana" w:hAnsi="Verdana" w:cs="Arial"/>
          <w:bCs/>
          <w:sz w:val="20"/>
          <w:szCs w:val="20"/>
        </w:rPr>
        <w:t xml:space="preserve">directly </w:t>
      </w:r>
      <w:r w:rsidRPr="00635B6D">
        <w:rPr>
          <w:rFonts w:ascii="Verdana" w:hAnsi="Verdana" w:cs="Arial"/>
          <w:bCs/>
          <w:sz w:val="20"/>
          <w:szCs w:val="20"/>
        </w:rPr>
        <w:t xml:space="preserve">own </w:t>
      </w:r>
      <w:r w:rsidRPr="00635B6D">
        <w:rPr>
          <w:rFonts w:ascii="Verdana" w:hAnsi="Verdana" w:cs="Arial"/>
          <w:bCs/>
          <w:sz w:val="20"/>
          <w:szCs w:val="20"/>
        </w:rPr>
        <w:t xml:space="preserve">shares in </w:t>
      </w:r>
      <w:r w:rsidRPr="00635B6D">
        <w:rPr>
          <w:rFonts w:ascii="Verdana" w:hAnsi="Verdana" w:cs="Arial"/>
          <w:bCs/>
          <w:sz w:val="20"/>
          <w:szCs w:val="20"/>
        </w:rPr>
        <w:t xml:space="preserve">underlying </w:t>
      </w:r>
      <w:r w:rsidRPr="00635B6D">
        <w:rPr>
          <w:rFonts w:ascii="Verdana" w:hAnsi="Verdana" w:cs="Arial"/>
          <w:bCs/>
          <w:sz w:val="20"/>
          <w:szCs w:val="20"/>
        </w:rPr>
        <w:t>companie</w:t>
      </w:r>
      <w:r w:rsidRPr="00635B6D">
        <w:rPr>
          <w:rFonts w:ascii="Verdana" w:hAnsi="Verdana" w:cs="Arial"/>
          <w:bCs/>
          <w:sz w:val="20"/>
          <w:szCs w:val="20"/>
        </w:rPr>
        <w:t>s</w:t>
      </w:r>
      <w:r w:rsidRPr="00635B6D">
        <w:rPr>
          <w:rFonts w:ascii="Verdana" w:hAnsi="Verdana" w:cs="Arial"/>
          <w:bCs/>
          <w:sz w:val="20"/>
          <w:szCs w:val="20"/>
        </w:rPr>
        <w:t xml:space="preserve">. </w:t>
      </w:r>
    </w:p>
    <w:p w:rsidR="00FC2A79" w:rsidRPr="00635B6D" w:rsidP="003B4083">
      <w:pPr>
        <w:autoSpaceDE w:val="0"/>
        <w:autoSpaceDN w:val="0"/>
        <w:adjustRightInd w:val="0"/>
        <w:spacing w:after="0"/>
        <w:rPr>
          <w:rFonts w:ascii="Verdana" w:hAnsi="Verdana" w:cs="Arial"/>
          <w:bCs/>
          <w:sz w:val="20"/>
          <w:szCs w:val="20"/>
        </w:rPr>
      </w:pPr>
    </w:p>
    <w:p w:rsidR="00581D92" w:rsidP="003B4083">
      <w:pPr>
        <w:autoSpaceDE w:val="0"/>
        <w:autoSpaceDN w:val="0"/>
        <w:adjustRightInd w:val="0"/>
        <w:spacing w:after="0"/>
        <w:rPr>
          <w:rFonts w:ascii="Verdana" w:hAnsi="Verdana" w:cs="Arial"/>
          <w:bCs/>
          <w:color w:val="183850" w:themeColor="text1"/>
          <w:sz w:val="20"/>
          <w:szCs w:val="20"/>
        </w:rPr>
      </w:pPr>
    </w:p>
    <w:p w:rsidR="0004532C" w:rsidRPr="00635B6D"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LPPI </w:t>
      </w:r>
      <w:r w:rsidRPr="00635B6D">
        <w:rPr>
          <w:rFonts w:ascii="Verdana" w:hAnsi="Verdana" w:cs="Arial"/>
          <w:bCs/>
          <w:sz w:val="20"/>
          <w:szCs w:val="20"/>
        </w:rPr>
        <w:t>exercise</w:t>
      </w:r>
      <w:r w:rsidRPr="00635B6D">
        <w:rPr>
          <w:rFonts w:ascii="Verdana" w:hAnsi="Verdana" w:cs="Arial"/>
          <w:bCs/>
          <w:sz w:val="20"/>
          <w:szCs w:val="20"/>
        </w:rPr>
        <w:t xml:space="preserve"> shareholder voting rights </w:t>
      </w:r>
      <w:r w:rsidRPr="00635B6D">
        <w:rPr>
          <w:rFonts w:ascii="Verdana" w:hAnsi="Verdana" w:cs="Arial"/>
          <w:bCs/>
          <w:sz w:val="20"/>
          <w:szCs w:val="20"/>
        </w:rPr>
        <w:t>for the GEF centrally rather than delegating voting to individual asset managers</w:t>
      </w:r>
      <w:r w:rsidRPr="00635B6D">
        <w:rPr>
          <w:rFonts w:ascii="Verdana" w:hAnsi="Verdana" w:cs="Arial"/>
          <w:bCs/>
          <w:sz w:val="20"/>
          <w:szCs w:val="20"/>
        </w:rPr>
        <w:t xml:space="preserve"> and </w:t>
      </w:r>
      <w:r w:rsidRPr="00635B6D">
        <w:rPr>
          <w:rFonts w:ascii="Verdana" w:hAnsi="Verdana" w:cs="Arial"/>
          <w:bCs/>
          <w:sz w:val="20"/>
          <w:szCs w:val="20"/>
        </w:rPr>
        <w:t>take account of voting recommendations from an external provider of proxy voting and governance research</w:t>
      </w:r>
      <w:r w:rsidRPr="00635B6D">
        <w:rPr>
          <w:rFonts w:ascii="Verdana" w:hAnsi="Verdana" w:cs="Arial"/>
          <w:bCs/>
          <w:sz w:val="20"/>
          <w:szCs w:val="20"/>
        </w:rPr>
        <w:t xml:space="preserve"> </w:t>
      </w:r>
      <w:r w:rsidRPr="00635B6D">
        <w:rPr>
          <w:rFonts w:ascii="Verdana" w:hAnsi="Verdana" w:cs="Arial"/>
          <w:bCs/>
          <w:sz w:val="20"/>
          <w:szCs w:val="20"/>
        </w:rPr>
        <w:t xml:space="preserve">(ISS) </w:t>
      </w:r>
      <w:r w:rsidRPr="00635B6D">
        <w:rPr>
          <w:rFonts w:ascii="Verdana" w:hAnsi="Verdana" w:cs="Arial"/>
          <w:bCs/>
          <w:sz w:val="20"/>
          <w:szCs w:val="20"/>
        </w:rPr>
        <w:t>in accordance</w:t>
      </w:r>
      <w:r w:rsidRPr="00635B6D">
        <w:rPr>
          <w:rFonts w:ascii="Verdana" w:hAnsi="Verdana" w:cs="Arial"/>
          <w:bCs/>
          <w:sz w:val="20"/>
          <w:szCs w:val="20"/>
        </w:rPr>
        <w:t xml:space="preserve"> </w:t>
      </w:r>
      <w:r w:rsidRPr="00635B6D">
        <w:rPr>
          <w:rFonts w:ascii="Verdana" w:hAnsi="Verdana" w:cs="Arial"/>
          <w:bCs/>
          <w:sz w:val="20"/>
          <w:szCs w:val="20"/>
        </w:rPr>
        <w:t>a Sustainability Vo</w:t>
      </w:r>
      <w:r w:rsidRPr="00635B6D">
        <w:rPr>
          <w:rFonts w:ascii="Verdana" w:hAnsi="Verdana" w:cs="Arial"/>
          <w:bCs/>
          <w:sz w:val="20"/>
          <w:szCs w:val="20"/>
        </w:rPr>
        <w:t xml:space="preserve">ting Policy designed to ensure the consideration of ESG factors within analysis. LPPI </w:t>
      </w:r>
      <w:r w:rsidRPr="00635B6D">
        <w:rPr>
          <w:rFonts w:ascii="Verdana" w:hAnsi="Verdana" w:cs="Arial"/>
          <w:bCs/>
          <w:sz w:val="20"/>
          <w:szCs w:val="20"/>
        </w:rPr>
        <w:t>review</w:t>
      </w:r>
      <w:r w:rsidRPr="00635B6D">
        <w:rPr>
          <w:rFonts w:ascii="Verdana" w:hAnsi="Verdana" w:cs="Arial"/>
          <w:bCs/>
          <w:sz w:val="20"/>
          <w:szCs w:val="20"/>
        </w:rPr>
        <w:t xml:space="preserve"> </w:t>
      </w:r>
      <w:r w:rsidRPr="00635B6D">
        <w:rPr>
          <w:rFonts w:ascii="Verdana" w:hAnsi="Verdana" w:cs="Arial"/>
          <w:bCs/>
          <w:sz w:val="20"/>
          <w:szCs w:val="20"/>
        </w:rPr>
        <w:t xml:space="preserve">voting recommendations </w:t>
      </w:r>
      <w:r w:rsidRPr="00635B6D">
        <w:rPr>
          <w:rFonts w:ascii="Verdana" w:hAnsi="Verdana" w:cs="Arial"/>
          <w:bCs/>
          <w:sz w:val="20"/>
          <w:szCs w:val="20"/>
        </w:rPr>
        <w:t>and take the final decision on all voting.</w:t>
      </w:r>
    </w:p>
    <w:p w:rsidR="00197BA3" w:rsidRPr="00635B6D"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 </w:t>
      </w:r>
    </w:p>
    <w:p w:rsidR="009D783C" w:rsidRPr="00635B6D" w:rsidP="00692968">
      <w:pPr>
        <w:autoSpaceDE w:val="0"/>
        <w:autoSpaceDN w:val="0"/>
        <w:adjustRightInd w:val="0"/>
        <w:spacing w:after="0"/>
        <w:rPr>
          <w:rFonts w:ascii="Verdana" w:hAnsi="Verdana" w:cs="Arial"/>
          <w:bCs/>
          <w:sz w:val="20"/>
          <w:szCs w:val="20"/>
        </w:rPr>
      </w:pPr>
      <w:r w:rsidRPr="00635B6D">
        <w:rPr>
          <w:rFonts w:ascii="Verdana" w:hAnsi="Verdana" w:cs="Arial"/>
          <w:bCs/>
          <w:sz w:val="20"/>
          <w:szCs w:val="20"/>
        </w:rPr>
        <w:t>I</w:t>
      </w:r>
      <w:r w:rsidRPr="00635B6D">
        <w:rPr>
          <w:rFonts w:ascii="Verdana" w:hAnsi="Verdana" w:cs="Arial"/>
          <w:bCs/>
          <w:sz w:val="20"/>
          <w:szCs w:val="20"/>
        </w:rPr>
        <w:t>n</w:t>
      </w:r>
      <w:r w:rsidRPr="00635B6D">
        <w:rPr>
          <w:rFonts w:ascii="Verdana" w:hAnsi="Verdana" w:cs="Arial"/>
          <w:bCs/>
          <w:sz w:val="20"/>
          <w:szCs w:val="20"/>
        </w:rPr>
        <w:t xml:space="preserve"> the </w:t>
      </w:r>
      <w:r>
        <w:rPr>
          <w:rFonts w:ascii="Verdana" w:hAnsi="Verdana" w:cs="Arial"/>
          <w:bCs/>
          <w:sz w:val="20"/>
          <w:szCs w:val="20"/>
        </w:rPr>
        <w:t>f</w:t>
      </w:r>
      <w:r>
        <w:rPr>
          <w:rFonts w:ascii="Verdana" w:hAnsi="Verdana" w:cs="Arial"/>
          <w:bCs/>
          <w:sz w:val="20"/>
          <w:szCs w:val="20"/>
        </w:rPr>
        <w:t>irst</w:t>
      </w:r>
      <w:r w:rsidRPr="00635B6D">
        <w:rPr>
          <w:rFonts w:ascii="Verdana" w:hAnsi="Verdana" w:cs="Arial"/>
          <w:bCs/>
          <w:sz w:val="20"/>
          <w:szCs w:val="20"/>
        </w:rPr>
        <w:t xml:space="preserve"> quarter of 201</w:t>
      </w:r>
      <w:r>
        <w:rPr>
          <w:rFonts w:ascii="Verdana" w:hAnsi="Verdana" w:cs="Arial"/>
          <w:bCs/>
          <w:sz w:val="20"/>
          <w:szCs w:val="20"/>
        </w:rPr>
        <w:t>9</w:t>
      </w:r>
      <w:r w:rsidRPr="00635B6D">
        <w:rPr>
          <w:rFonts w:ascii="Verdana" w:hAnsi="Verdana" w:cs="Arial"/>
          <w:bCs/>
          <w:sz w:val="20"/>
          <w:szCs w:val="20"/>
        </w:rPr>
        <w:t xml:space="preserve"> </w:t>
      </w:r>
      <w:r w:rsidRPr="00635B6D">
        <w:rPr>
          <w:rFonts w:ascii="Verdana" w:hAnsi="Verdana" w:cs="Arial"/>
          <w:bCs/>
          <w:sz w:val="20"/>
          <w:szCs w:val="20"/>
        </w:rPr>
        <w:t xml:space="preserve">shareholder </w:t>
      </w:r>
      <w:r w:rsidRPr="00635B6D">
        <w:rPr>
          <w:rFonts w:ascii="Verdana" w:hAnsi="Verdana" w:cs="Arial"/>
          <w:bCs/>
          <w:sz w:val="20"/>
          <w:szCs w:val="20"/>
        </w:rPr>
        <w:t>voting headlines for the GEF were as follows:</w:t>
      </w:r>
    </w:p>
    <w:p w:rsidR="00BE766B" w:rsidRPr="00635B6D" w:rsidP="00692968">
      <w:pPr>
        <w:autoSpaceDE w:val="0"/>
        <w:autoSpaceDN w:val="0"/>
        <w:adjustRightInd w:val="0"/>
        <w:spacing w:after="0"/>
        <w:rPr>
          <w:rFonts w:ascii="Verdana" w:hAnsi="Verdana" w:cs="Arial"/>
          <w:bCs/>
          <w:sz w:val="20"/>
          <w:szCs w:val="20"/>
          <w:u w:val="single"/>
        </w:rPr>
      </w:pPr>
    </w:p>
    <w:p w:rsidR="00BE766B" w:rsidRPr="00965079" w:rsidP="00D95CF3">
      <w:pPr>
        <w:spacing w:after="0"/>
        <w:rPr>
          <w:rFonts w:ascii="Verdana" w:hAnsi="Verdana" w:cs="Arial"/>
          <w:bCs/>
          <w:sz w:val="20"/>
          <w:szCs w:val="20"/>
          <w:u w:val="single"/>
        </w:rPr>
      </w:pPr>
      <w:r w:rsidRPr="00965079">
        <w:rPr>
          <w:rFonts w:ascii="Verdana" w:hAnsi="Verdana" w:cs="Arial"/>
          <w:bCs/>
          <w:sz w:val="20"/>
          <w:szCs w:val="20"/>
          <w:u w:val="single"/>
        </w:rPr>
        <w:t>LPP</w:t>
      </w:r>
      <w:r w:rsidRPr="00965079">
        <w:rPr>
          <w:rFonts w:ascii="Verdana" w:hAnsi="Verdana" w:cs="Arial"/>
          <w:bCs/>
          <w:sz w:val="20"/>
          <w:szCs w:val="20"/>
          <w:u w:val="single"/>
        </w:rPr>
        <w:t>I</w:t>
      </w:r>
      <w:r w:rsidRPr="00965079">
        <w:rPr>
          <w:rFonts w:ascii="Verdana" w:hAnsi="Verdana" w:cs="Arial"/>
          <w:bCs/>
          <w:sz w:val="20"/>
          <w:szCs w:val="20"/>
          <w:u w:val="single"/>
        </w:rPr>
        <w:t xml:space="preserve"> Global Equities Fund (GEF)</w:t>
      </w:r>
    </w:p>
    <w:p w:rsidR="00A05E4A" w:rsidRPr="00965079" w:rsidP="00EE70E7">
      <w:pPr>
        <w:pStyle w:val="ListParagraph"/>
        <w:spacing w:after="0"/>
        <w:ind w:left="0"/>
        <w:rPr>
          <w:rFonts w:ascii="Verdana" w:hAnsi="Verdana"/>
          <w:u w:val="single"/>
        </w:rPr>
      </w:pPr>
    </w:p>
    <w:tbl>
      <w:tblPr>
        <w:tblW w:w="7060" w:type="dxa"/>
        <w:tblInd w:w="-10" w:type="dxa"/>
        <w:tblLook w:val="04A0"/>
      </w:tblPr>
      <w:tblGrid>
        <w:gridCol w:w="6379"/>
        <w:gridCol w:w="681"/>
      </w:tblGrid>
      <w:tr w:rsidTr="00177D2D">
        <w:tblPrEx>
          <w:tblW w:w="7060" w:type="dxa"/>
          <w:tblInd w:w="-10" w:type="dxa"/>
          <w:tblLook w:val="04A0"/>
        </w:tblPrEx>
        <w:trPr>
          <w:trHeight w:val="559"/>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05E4A" w:rsidRPr="00965079" w:rsidP="00EE70E7">
            <w:pPr>
              <w:spacing w:after="0"/>
              <w:rPr>
                <w:rFonts w:ascii="Verdana" w:hAnsi="Verdana" w:cs="Arial"/>
                <w:sz w:val="20"/>
                <w:szCs w:val="20"/>
              </w:rPr>
            </w:pPr>
            <w:r w:rsidRPr="00965079">
              <w:rPr>
                <w:rFonts w:ascii="Verdana" w:hAnsi="Verdana" w:cs="Arial"/>
                <w:sz w:val="20"/>
                <w:szCs w:val="20"/>
              </w:rPr>
              <w:t>Total company meetings taking place</w:t>
            </w:r>
          </w:p>
        </w:tc>
        <w:tc>
          <w:tcPr>
            <w:tcW w:w="681" w:type="dxa"/>
            <w:tcBorders>
              <w:top w:val="single" w:sz="8" w:space="0" w:color="auto"/>
              <w:left w:val="nil"/>
              <w:bottom w:val="single" w:sz="8" w:space="0" w:color="auto"/>
              <w:right w:val="single" w:sz="8" w:space="0" w:color="auto"/>
            </w:tcBorders>
            <w:shd w:val="clear" w:color="000000" w:fill="FFFFFF"/>
            <w:noWrap/>
            <w:vAlign w:val="center"/>
            <w:hideMark/>
          </w:tcPr>
          <w:p w:rsidR="00A05E4A" w:rsidRPr="00965079" w:rsidP="00177D2D">
            <w:pPr>
              <w:jc w:val="center"/>
              <w:rPr>
                <w:rFonts w:ascii="Verdana" w:hAnsi="Verdana" w:cs="Arial"/>
                <w:sz w:val="20"/>
                <w:szCs w:val="20"/>
              </w:rPr>
            </w:pPr>
            <w:r w:rsidRPr="00965079">
              <w:rPr>
                <w:rFonts w:ascii="Verdana" w:hAnsi="Verdana" w:cs="Arial"/>
                <w:sz w:val="20"/>
                <w:szCs w:val="20"/>
              </w:rPr>
              <w:t>69</w:t>
            </w:r>
          </w:p>
        </w:tc>
      </w:tr>
      <w:tr w:rsidTr="00177D2D">
        <w:tblPrEx>
          <w:tblW w:w="7060" w:type="dxa"/>
          <w:tblInd w:w="-10" w:type="dxa"/>
          <w:tblLook w:val="04A0"/>
        </w:tblPrEx>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965079" w:rsidP="00EE70E7">
            <w:pPr>
              <w:spacing w:after="0"/>
              <w:rPr>
                <w:rFonts w:ascii="Verdana" w:hAnsi="Verdana" w:cs="Arial"/>
                <w:sz w:val="20"/>
                <w:szCs w:val="20"/>
              </w:rPr>
            </w:pPr>
            <w:r w:rsidRPr="00965079">
              <w:rPr>
                <w:rFonts w:ascii="Verdana" w:hAnsi="Verdana" w:cs="Arial"/>
                <w:sz w:val="20"/>
                <w:szCs w:val="20"/>
              </w:rPr>
              <w:t xml:space="preserve">Total resolutions </w:t>
            </w:r>
          </w:p>
          <w:p w:rsidR="00A05E4A" w:rsidRPr="00965079" w:rsidP="00EE70E7">
            <w:pPr>
              <w:spacing w:after="0"/>
              <w:rPr>
                <w:rFonts w:ascii="Verdana" w:hAnsi="Verdana" w:cs="Arial"/>
                <w:sz w:val="20"/>
                <w:szCs w:val="20"/>
              </w:rPr>
            </w:pPr>
            <w:r w:rsidRPr="00965079">
              <w:rPr>
                <w:rFonts w:ascii="Verdana" w:hAnsi="Verdana" w:cs="Arial"/>
                <w:sz w:val="20"/>
                <w:szCs w:val="20"/>
              </w:rPr>
              <w:t>(management and shareholder proposals)</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965079" w:rsidP="00177D2D">
            <w:pPr>
              <w:jc w:val="center"/>
              <w:rPr>
                <w:rFonts w:ascii="Verdana" w:hAnsi="Verdana" w:cs="Arial"/>
                <w:sz w:val="20"/>
                <w:szCs w:val="20"/>
              </w:rPr>
            </w:pPr>
            <w:r w:rsidRPr="00965079">
              <w:rPr>
                <w:rFonts w:ascii="Verdana" w:hAnsi="Verdana" w:cs="Arial"/>
                <w:sz w:val="20"/>
                <w:szCs w:val="20"/>
              </w:rPr>
              <w:t>883</w:t>
            </w:r>
          </w:p>
        </w:tc>
      </w:tr>
      <w:tr w:rsidTr="00177D2D">
        <w:tblPrEx>
          <w:tblW w:w="7060" w:type="dxa"/>
          <w:tblInd w:w="-10" w:type="dxa"/>
          <w:tblLook w:val="04A0"/>
        </w:tblPrEx>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965079" w:rsidP="00EE70E7">
            <w:pPr>
              <w:spacing w:after="0"/>
              <w:rPr>
                <w:rFonts w:ascii="Verdana" w:hAnsi="Verdana" w:cs="Arial"/>
                <w:sz w:val="20"/>
                <w:szCs w:val="20"/>
              </w:rPr>
            </w:pPr>
            <w:r w:rsidRPr="00965079">
              <w:rPr>
                <w:rFonts w:ascii="Verdana" w:hAnsi="Verdana" w:cs="Arial"/>
                <w:sz w:val="20"/>
                <w:szCs w:val="20"/>
              </w:rPr>
              <w:t>Total company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965079" w:rsidP="00177D2D">
            <w:pPr>
              <w:jc w:val="center"/>
              <w:rPr>
                <w:rFonts w:ascii="Verdana" w:hAnsi="Verdana" w:cs="Arial"/>
                <w:sz w:val="20"/>
                <w:szCs w:val="20"/>
              </w:rPr>
            </w:pPr>
            <w:r w:rsidRPr="00965079">
              <w:rPr>
                <w:rFonts w:ascii="Verdana" w:hAnsi="Verdana" w:cs="Arial"/>
                <w:sz w:val="20"/>
                <w:szCs w:val="20"/>
              </w:rPr>
              <w:t>857</w:t>
            </w:r>
          </w:p>
        </w:tc>
      </w:tr>
      <w:tr w:rsidTr="00177D2D">
        <w:tblPrEx>
          <w:tblW w:w="7060" w:type="dxa"/>
          <w:tblInd w:w="-10" w:type="dxa"/>
          <w:tblLook w:val="04A0"/>
        </w:tblPrEx>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965079" w:rsidP="00EE70E7">
            <w:pPr>
              <w:spacing w:after="0"/>
              <w:rPr>
                <w:rFonts w:ascii="Verdana" w:hAnsi="Verdana" w:cs="Arial"/>
                <w:sz w:val="20"/>
                <w:szCs w:val="20"/>
              </w:rPr>
            </w:pPr>
            <w:r w:rsidRPr="00965079">
              <w:rPr>
                <w:rFonts w:ascii="Verdana" w:hAnsi="Verdana" w:cs="Arial"/>
                <w:sz w:val="20"/>
                <w:szCs w:val="20"/>
              </w:rPr>
              <w:t>Total shareholder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965079" w:rsidP="00177D2D">
            <w:pPr>
              <w:jc w:val="center"/>
              <w:rPr>
                <w:rFonts w:ascii="Verdana" w:hAnsi="Verdana" w:cs="Arial"/>
                <w:sz w:val="20"/>
                <w:szCs w:val="20"/>
              </w:rPr>
            </w:pPr>
            <w:r w:rsidRPr="00965079">
              <w:rPr>
                <w:rFonts w:ascii="Verdana" w:hAnsi="Verdana" w:cs="Arial"/>
                <w:sz w:val="20"/>
                <w:szCs w:val="20"/>
              </w:rPr>
              <w:t>26</w:t>
            </w:r>
          </w:p>
        </w:tc>
      </w:tr>
    </w:tbl>
    <w:p w:rsidR="00A05E4A" w:rsidRPr="002E1DA7" w:rsidP="00EE70E7">
      <w:pPr>
        <w:spacing w:after="0"/>
        <w:rPr>
          <w:rFonts w:ascii="Verdana" w:hAnsi="Verdana"/>
          <w:highlight w:val="yellow"/>
          <w:u w:val="single"/>
        </w:rPr>
      </w:pPr>
    </w:p>
    <w:p w:rsidR="00A05E4A" w:rsidRPr="00965079" w:rsidP="00EE70E7">
      <w:pPr>
        <w:autoSpaceDE w:val="0"/>
        <w:autoSpaceDN w:val="0"/>
        <w:adjustRightInd w:val="0"/>
        <w:spacing w:after="0"/>
        <w:rPr>
          <w:rFonts w:ascii="Verdana" w:hAnsi="Verdana" w:cs="Arial"/>
          <w:bCs/>
          <w:sz w:val="20"/>
          <w:szCs w:val="20"/>
        </w:rPr>
      </w:pPr>
      <w:r w:rsidRPr="00965079">
        <w:rPr>
          <w:rFonts w:ascii="Verdana" w:hAnsi="Verdana" w:cs="Arial"/>
          <w:bCs/>
          <w:sz w:val="20"/>
          <w:szCs w:val="20"/>
        </w:rPr>
        <w:t>Company Proposals</w:t>
      </w:r>
    </w:p>
    <w:tbl>
      <w:tblPr>
        <w:tblW w:w="7287" w:type="dxa"/>
        <w:tblInd w:w="-5" w:type="dxa"/>
        <w:tblLook w:val="04A0"/>
      </w:tblPr>
      <w:tblGrid>
        <w:gridCol w:w="5812"/>
        <w:gridCol w:w="709"/>
        <w:gridCol w:w="766"/>
      </w:tblGrid>
      <w:tr w:rsidTr="00965079">
        <w:tblPrEx>
          <w:tblW w:w="7287" w:type="dxa"/>
          <w:tblInd w:w="-5" w:type="dxa"/>
          <w:tblLook w:val="04A0"/>
        </w:tblPrEx>
        <w:trPr>
          <w:trHeight w:val="270"/>
        </w:trPr>
        <w:tc>
          <w:tcPr>
            <w:tcW w:w="58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B13826" w:rsidP="00EE70E7">
            <w:pPr>
              <w:spacing w:after="0"/>
              <w:rPr>
                <w:rFonts w:ascii="Verdana" w:hAnsi="Verdana" w:cs="Arial"/>
                <w:sz w:val="20"/>
                <w:szCs w:val="20"/>
              </w:rPr>
            </w:pPr>
            <w:r w:rsidRPr="00B13826">
              <w:rPr>
                <w:rFonts w:ascii="Verdana" w:hAnsi="Verdana" w:cs="Arial"/>
                <w:sz w:val="20"/>
                <w:szCs w:val="20"/>
              </w:rPr>
              <w:t xml:space="preserve">Voting </w:t>
            </w:r>
            <w:r w:rsidRPr="00B13826">
              <w:rPr>
                <w:rFonts w:ascii="Verdana" w:hAnsi="Verdana" w:cs="Arial"/>
                <w:sz w:val="20"/>
                <w:szCs w:val="20"/>
              </w:rPr>
              <w:t>Supported</w:t>
            </w:r>
            <w:r w:rsidRPr="00B13826">
              <w:rPr>
                <w:rFonts w:ascii="Verdana" w:hAnsi="Verdana" w:cs="Arial"/>
                <w:sz w:val="20"/>
                <w:szCs w:val="20"/>
              </w:rPr>
              <w:t xml:space="preserve"> Management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B13826" w:rsidP="00EE70E7">
            <w:pPr>
              <w:spacing w:after="0"/>
              <w:jc w:val="center"/>
              <w:rPr>
                <w:rFonts w:ascii="Verdana" w:hAnsi="Verdana" w:cs="Arial"/>
                <w:sz w:val="20"/>
                <w:szCs w:val="20"/>
              </w:rPr>
            </w:pPr>
            <w:r w:rsidRPr="00B13826">
              <w:rPr>
                <w:rFonts w:ascii="Verdana" w:hAnsi="Verdana" w:cs="Arial"/>
                <w:sz w:val="20"/>
                <w:szCs w:val="20"/>
              </w:rPr>
              <w:t>791</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E4A" w:rsidRPr="00B13826" w:rsidP="00B13826">
            <w:pPr>
              <w:spacing w:after="0"/>
              <w:jc w:val="right"/>
              <w:rPr>
                <w:rFonts w:ascii="Verdana" w:hAnsi="Verdana" w:cs="Arial"/>
                <w:sz w:val="20"/>
                <w:szCs w:val="20"/>
              </w:rPr>
            </w:pPr>
            <w:r w:rsidRPr="00B13826">
              <w:rPr>
                <w:rFonts w:ascii="Verdana" w:hAnsi="Verdana" w:cs="Arial"/>
                <w:sz w:val="20"/>
                <w:szCs w:val="20"/>
              </w:rPr>
              <w:t>92%</w:t>
            </w:r>
          </w:p>
        </w:tc>
      </w:tr>
      <w:tr w:rsidTr="00965079">
        <w:tblPrEx>
          <w:tblW w:w="7287" w:type="dxa"/>
          <w:tblInd w:w="-5" w:type="dxa"/>
          <w:tblLook w:val="04A0"/>
        </w:tblPrEx>
        <w:trPr>
          <w:trHeight w:val="270"/>
        </w:trPr>
        <w:tc>
          <w:tcPr>
            <w:tcW w:w="581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05E4A" w:rsidRPr="00B13826" w:rsidP="00EE70E7">
            <w:pPr>
              <w:spacing w:after="0"/>
              <w:rPr>
                <w:rFonts w:ascii="Verdana" w:hAnsi="Verdana" w:cs="Arial"/>
                <w:sz w:val="20"/>
                <w:szCs w:val="20"/>
              </w:rPr>
            </w:pPr>
            <w:r w:rsidRPr="00B13826">
              <w:rPr>
                <w:rFonts w:ascii="Verdana" w:hAnsi="Verdana" w:cs="Arial"/>
                <w:sz w:val="20"/>
                <w:szCs w:val="20"/>
              </w:rPr>
              <w:t xml:space="preserve">Voting </w:t>
            </w:r>
            <w:r w:rsidRPr="00B13826">
              <w:rPr>
                <w:rFonts w:ascii="Verdana" w:hAnsi="Verdana" w:cs="Arial"/>
                <w:sz w:val="20"/>
                <w:szCs w:val="20"/>
              </w:rPr>
              <w:t>Opposed Management</w:t>
            </w:r>
          </w:p>
        </w:tc>
        <w:tc>
          <w:tcPr>
            <w:tcW w:w="709" w:type="dxa"/>
            <w:tcBorders>
              <w:top w:val="single" w:sz="4" w:space="0" w:color="auto"/>
              <w:left w:val="nil"/>
              <w:bottom w:val="single" w:sz="8" w:space="0" w:color="auto"/>
              <w:right w:val="single" w:sz="8" w:space="0" w:color="auto"/>
            </w:tcBorders>
            <w:shd w:val="clear" w:color="000000" w:fill="FFFFFF"/>
            <w:noWrap/>
            <w:vAlign w:val="center"/>
            <w:hideMark/>
          </w:tcPr>
          <w:p w:rsidR="00A05E4A" w:rsidRPr="00B13826" w:rsidP="00EE70E7">
            <w:pPr>
              <w:spacing w:after="0"/>
              <w:jc w:val="center"/>
              <w:rPr>
                <w:rFonts w:ascii="Verdana" w:hAnsi="Verdana" w:cs="Arial"/>
                <w:sz w:val="20"/>
                <w:szCs w:val="20"/>
              </w:rPr>
            </w:pPr>
            <w:r w:rsidRPr="00B13826">
              <w:rPr>
                <w:rFonts w:ascii="Verdana" w:hAnsi="Verdana" w:cs="Arial"/>
                <w:sz w:val="20"/>
                <w:szCs w:val="20"/>
              </w:rPr>
              <w:t>66</w:t>
            </w:r>
          </w:p>
        </w:tc>
        <w:tc>
          <w:tcPr>
            <w:tcW w:w="766" w:type="dxa"/>
            <w:tcBorders>
              <w:top w:val="single" w:sz="4" w:space="0" w:color="auto"/>
              <w:left w:val="nil"/>
              <w:bottom w:val="single" w:sz="8" w:space="0" w:color="auto"/>
              <w:right w:val="single" w:sz="8" w:space="0" w:color="auto"/>
            </w:tcBorders>
            <w:shd w:val="clear" w:color="000000" w:fill="FFFFFF"/>
            <w:vAlign w:val="center"/>
            <w:hideMark/>
          </w:tcPr>
          <w:p w:rsidR="00A05E4A" w:rsidRPr="00B13826" w:rsidP="00B13826">
            <w:pPr>
              <w:spacing w:after="0"/>
              <w:jc w:val="right"/>
              <w:rPr>
                <w:rFonts w:ascii="Verdana" w:hAnsi="Verdana" w:cs="Arial"/>
                <w:sz w:val="20"/>
                <w:szCs w:val="20"/>
              </w:rPr>
            </w:pPr>
            <w:r w:rsidRPr="00B13826">
              <w:rPr>
                <w:rFonts w:ascii="Verdana" w:hAnsi="Verdana" w:cs="Arial"/>
                <w:sz w:val="20"/>
                <w:szCs w:val="20"/>
              </w:rPr>
              <w:t>8%</w:t>
            </w:r>
          </w:p>
        </w:tc>
      </w:tr>
    </w:tbl>
    <w:p w:rsidR="00A05E4A" w:rsidRPr="00B13826" w:rsidP="00EE70E7">
      <w:pPr>
        <w:spacing w:after="0"/>
        <w:rPr>
          <w:rFonts w:ascii="Verdana" w:hAnsi="Verdana"/>
          <w:sz w:val="20"/>
          <w:szCs w:val="20"/>
          <w:u w:val="single"/>
        </w:rPr>
      </w:pPr>
    </w:p>
    <w:p w:rsidR="00A05E4A" w:rsidRPr="00B13826" w:rsidP="00EE70E7">
      <w:pPr>
        <w:autoSpaceDE w:val="0"/>
        <w:autoSpaceDN w:val="0"/>
        <w:adjustRightInd w:val="0"/>
        <w:spacing w:after="0"/>
        <w:rPr>
          <w:rFonts w:ascii="Verdana" w:hAnsi="Verdana" w:cs="Arial"/>
          <w:bCs/>
          <w:sz w:val="20"/>
          <w:szCs w:val="20"/>
        </w:rPr>
      </w:pPr>
      <w:r w:rsidRPr="00B13826">
        <w:rPr>
          <w:rFonts w:ascii="Verdana" w:hAnsi="Verdana" w:cs="Arial"/>
          <w:bCs/>
          <w:sz w:val="20"/>
          <w:szCs w:val="20"/>
        </w:rPr>
        <w:t>Shareholder Proposals</w:t>
      </w:r>
    </w:p>
    <w:tbl>
      <w:tblPr>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709"/>
        <w:gridCol w:w="827"/>
      </w:tblGrid>
      <w:tr w:rsidTr="00965079">
        <w:tblPrEx>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5812" w:type="dxa"/>
            <w:shd w:val="clear" w:color="000000" w:fill="FFFFFF"/>
            <w:noWrap/>
            <w:vAlign w:val="center"/>
            <w:hideMark/>
          </w:tcPr>
          <w:p w:rsidR="00A05E4A" w:rsidRPr="00B13826" w:rsidP="00EE70E7">
            <w:pPr>
              <w:spacing w:after="0"/>
              <w:rPr>
                <w:rFonts w:ascii="Verdana" w:hAnsi="Verdana" w:cs="Arial"/>
                <w:sz w:val="20"/>
                <w:szCs w:val="20"/>
              </w:rPr>
            </w:pPr>
            <w:r w:rsidRPr="00B13826">
              <w:rPr>
                <w:rFonts w:ascii="Verdana" w:hAnsi="Verdana" w:cs="Arial"/>
                <w:sz w:val="20"/>
                <w:szCs w:val="20"/>
              </w:rPr>
              <w:t>Shareholder proposals supported by LPPI</w:t>
            </w:r>
          </w:p>
        </w:tc>
        <w:tc>
          <w:tcPr>
            <w:tcW w:w="709" w:type="dxa"/>
            <w:shd w:val="clear" w:color="000000" w:fill="FFFFFF"/>
            <w:noWrap/>
            <w:vAlign w:val="center"/>
            <w:hideMark/>
          </w:tcPr>
          <w:p w:rsidR="00A05E4A" w:rsidRPr="00B13826" w:rsidP="00EE70E7">
            <w:pPr>
              <w:spacing w:after="0"/>
              <w:jc w:val="center"/>
              <w:rPr>
                <w:rFonts w:ascii="Verdana" w:hAnsi="Verdana" w:cs="Arial"/>
                <w:sz w:val="20"/>
                <w:szCs w:val="20"/>
              </w:rPr>
            </w:pPr>
            <w:r w:rsidRPr="00B13826">
              <w:rPr>
                <w:rFonts w:ascii="Verdana" w:hAnsi="Verdana" w:cs="Arial"/>
                <w:sz w:val="20"/>
                <w:szCs w:val="20"/>
              </w:rPr>
              <w:t>12</w:t>
            </w:r>
          </w:p>
        </w:tc>
        <w:tc>
          <w:tcPr>
            <w:tcW w:w="827" w:type="dxa"/>
            <w:shd w:val="clear" w:color="000000" w:fill="FFFFFF"/>
            <w:vAlign w:val="center"/>
            <w:hideMark/>
          </w:tcPr>
          <w:p w:rsidR="00A05E4A" w:rsidRPr="00B13826" w:rsidP="00B13826">
            <w:pPr>
              <w:spacing w:after="0"/>
              <w:jc w:val="right"/>
              <w:rPr>
                <w:rFonts w:ascii="Verdana" w:hAnsi="Verdana" w:cs="Arial"/>
                <w:sz w:val="20"/>
                <w:szCs w:val="20"/>
              </w:rPr>
            </w:pPr>
            <w:r w:rsidRPr="00B13826">
              <w:rPr>
                <w:rFonts w:ascii="Verdana" w:hAnsi="Verdana" w:cs="Arial"/>
                <w:sz w:val="20"/>
                <w:szCs w:val="20"/>
              </w:rPr>
              <w:t>46%</w:t>
            </w:r>
          </w:p>
        </w:tc>
      </w:tr>
      <w:tr w:rsidTr="00965079">
        <w:tblPrEx>
          <w:tblW w:w="7348" w:type="dxa"/>
          <w:tblInd w:w="-5" w:type="dxa"/>
          <w:tblLook w:val="04A0"/>
        </w:tblPrEx>
        <w:trPr>
          <w:trHeight w:val="270"/>
        </w:trPr>
        <w:tc>
          <w:tcPr>
            <w:tcW w:w="5812" w:type="dxa"/>
            <w:shd w:val="clear" w:color="000000" w:fill="FFFFFF"/>
            <w:noWrap/>
            <w:vAlign w:val="center"/>
            <w:hideMark/>
          </w:tcPr>
          <w:p w:rsidR="00A05E4A" w:rsidRPr="00B13826" w:rsidP="00EE70E7">
            <w:pPr>
              <w:spacing w:after="0"/>
              <w:rPr>
                <w:rFonts w:ascii="Verdana" w:hAnsi="Verdana" w:cs="Arial"/>
                <w:sz w:val="20"/>
                <w:szCs w:val="20"/>
              </w:rPr>
            </w:pPr>
            <w:r w:rsidRPr="00B13826">
              <w:rPr>
                <w:rFonts w:ascii="Verdana" w:hAnsi="Verdana" w:cs="Arial"/>
                <w:sz w:val="20"/>
                <w:szCs w:val="20"/>
              </w:rPr>
              <w:t>Vote</w:t>
            </w:r>
            <w:r w:rsidRPr="00B13826">
              <w:rPr>
                <w:rFonts w:ascii="Verdana" w:hAnsi="Verdana" w:cs="Arial"/>
                <w:sz w:val="20"/>
                <w:szCs w:val="20"/>
              </w:rPr>
              <w:t>s</w:t>
            </w:r>
            <w:r w:rsidRPr="00B13826">
              <w:rPr>
                <w:rFonts w:ascii="Verdana" w:hAnsi="Verdana" w:cs="Arial"/>
                <w:sz w:val="20"/>
                <w:szCs w:val="20"/>
              </w:rPr>
              <w:t xml:space="preserve"> against shareholder proposal</w:t>
            </w:r>
            <w:r w:rsidRPr="00B13826">
              <w:rPr>
                <w:rFonts w:ascii="Verdana" w:hAnsi="Verdana" w:cs="Arial"/>
                <w:sz w:val="20"/>
                <w:szCs w:val="20"/>
              </w:rPr>
              <w:t>s</w:t>
            </w:r>
          </w:p>
        </w:tc>
        <w:tc>
          <w:tcPr>
            <w:tcW w:w="709" w:type="dxa"/>
            <w:shd w:val="clear" w:color="000000" w:fill="FFFFFF"/>
            <w:noWrap/>
            <w:vAlign w:val="center"/>
            <w:hideMark/>
          </w:tcPr>
          <w:p w:rsidR="00A05E4A" w:rsidRPr="00B13826" w:rsidP="00EE70E7">
            <w:pPr>
              <w:spacing w:after="0"/>
              <w:jc w:val="center"/>
              <w:rPr>
                <w:rFonts w:ascii="Verdana" w:hAnsi="Verdana" w:cs="Arial"/>
                <w:sz w:val="20"/>
                <w:szCs w:val="20"/>
              </w:rPr>
            </w:pPr>
            <w:r w:rsidRPr="00B13826">
              <w:rPr>
                <w:rFonts w:ascii="Verdana" w:hAnsi="Verdana" w:cs="Arial"/>
                <w:sz w:val="20"/>
                <w:szCs w:val="20"/>
              </w:rPr>
              <w:t>14</w:t>
            </w:r>
          </w:p>
        </w:tc>
        <w:tc>
          <w:tcPr>
            <w:tcW w:w="827" w:type="dxa"/>
            <w:shd w:val="clear" w:color="auto" w:fill="auto"/>
            <w:noWrap/>
            <w:hideMark/>
          </w:tcPr>
          <w:p w:rsidR="00A05E4A" w:rsidRPr="00B13826" w:rsidP="00B13826">
            <w:pPr>
              <w:spacing w:after="0"/>
              <w:jc w:val="right"/>
              <w:rPr>
                <w:rFonts w:ascii="Verdana" w:hAnsi="Verdana" w:cs="Arial"/>
                <w:sz w:val="20"/>
                <w:szCs w:val="20"/>
              </w:rPr>
            </w:pPr>
            <w:r w:rsidRPr="00B13826">
              <w:rPr>
                <w:rFonts w:ascii="Verdana" w:hAnsi="Verdana" w:cs="Arial"/>
                <w:sz w:val="20"/>
                <w:szCs w:val="20"/>
              </w:rPr>
              <w:t>54%</w:t>
            </w:r>
          </w:p>
        </w:tc>
      </w:tr>
    </w:tbl>
    <w:p w:rsidR="000342B3" w:rsidRPr="00965079" w:rsidP="00EA4636">
      <w:pPr>
        <w:autoSpaceDE w:val="0"/>
        <w:autoSpaceDN w:val="0"/>
        <w:adjustRightInd w:val="0"/>
        <w:spacing w:after="0"/>
        <w:rPr>
          <w:rFonts w:ascii="Verdana" w:hAnsi="Verdana"/>
          <w:sz w:val="20"/>
          <w:szCs w:val="20"/>
        </w:rPr>
      </w:pPr>
    </w:p>
    <w:p w:rsidR="00984AE7" w:rsidRPr="001C1C42" w:rsidP="00EA4636">
      <w:pPr>
        <w:autoSpaceDE w:val="0"/>
        <w:autoSpaceDN w:val="0"/>
        <w:adjustRightInd w:val="0"/>
        <w:spacing w:after="0"/>
        <w:rPr>
          <w:noProof/>
        </w:rPr>
      </w:pPr>
      <w:r w:rsidRPr="00B13826">
        <w:rPr>
          <w:rFonts w:ascii="Verdana" w:hAnsi="Verdana"/>
          <w:sz w:val="20"/>
          <w:szCs w:val="20"/>
        </w:rPr>
        <w:t xml:space="preserve">The </w:t>
      </w:r>
      <w:r w:rsidRPr="00B13826">
        <w:rPr>
          <w:rFonts w:ascii="Verdana" w:hAnsi="Verdana"/>
          <w:sz w:val="20"/>
          <w:szCs w:val="20"/>
        </w:rPr>
        <w:t xml:space="preserve">following </w:t>
      </w:r>
      <w:r w:rsidRPr="00B13826">
        <w:rPr>
          <w:rFonts w:ascii="Verdana" w:hAnsi="Verdana"/>
          <w:sz w:val="20"/>
          <w:szCs w:val="20"/>
        </w:rPr>
        <w:t xml:space="preserve">table summarises resolutions by type and indicates </w:t>
      </w:r>
      <w:r w:rsidRPr="00B13826">
        <w:rPr>
          <w:rFonts w:ascii="Verdana" w:hAnsi="Verdana" w:cs="Arial"/>
          <w:bCs/>
          <w:sz w:val="20"/>
          <w:szCs w:val="20"/>
        </w:rPr>
        <w:t xml:space="preserve">where opposition voting </w:t>
      </w:r>
      <w:r w:rsidRPr="00B13826">
        <w:rPr>
          <w:rFonts w:ascii="Verdana" w:hAnsi="Verdana" w:cs="Arial"/>
          <w:bCs/>
          <w:sz w:val="20"/>
          <w:szCs w:val="20"/>
        </w:rPr>
        <w:t xml:space="preserve">was </w:t>
      </w:r>
      <w:r w:rsidRPr="00B13826">
        <w:rPr>
          <w:rFonts w:ascii="Verdana" w:hAnsi="Verdana" w:cs="Arial"/>
          <w:bCs/>
          <w:sz w:val="20"/>
          <w:szCs w:val="20"/>
        </w:rPr>
        <w:t>concentrated</w:t>
      </w:r>
      <w:r w:rsidRPr="00B13826">
        <w:rPr>
          <w:rFonts w:ascii="Verdana" w:hAnsi="Verdana"/>
          <w:sz w:val="20"/>
          <w:szCs w:val="20"/>
        </w:rPr>
        <w:t xml:space="preserve"> </w:t>
      </w:r>
      <w:r w:rsidRPr="00B13826">
        <w:rPr>
          <w:rFonts w:ascii="Verdana" w:hAnsi="Verdana" w:cs="Arial"/>
          <w:bCs/>
          <w:sz w:val="20"/>
          <w:szCs w:val="20"/>
        </w:rPr>
        <w:t>in Q</w:t>
      </w:r>
      <w:r w:rsidRPr="00B13826">
        <w:rPr>
          <w:rFonts w:ascii="Verdana" w:hAnsi="Verdana" w:cs="Arial"/>
          <w:bCs/>
          <w:sz w:val="20"/>
          <w:szCs w:val="20"/>
        </w:rPr>
        <w:t>1</w:t>
      </w:r>
      <w:r w:rsidRPr="00B13826">
        <w:rPr>
          <w:rFonts w:ascii="Verdana" w:hAnsi="Verdana" w:cs="Arial"/>
          <w:bCs/>
          <w:sz w:val="20"/>
          <w:szCs w:val="20"/>
        </w:rPr>
        <w:t>.</w:t>
      </w:r>
      <w:r w:rsidRPr="007642FF">
        <w:rPr>
          <w:noProof/>
        </w:rPr>
        <w:t xml:space="preserve"> </w:t>
      </w:r>
    </w:p>
    <w:p w:rsidR="00984AE7" w:rsidRPr="00F046BA" w:rsidP="00EA4636">
      <w:pPr>
        <w:autoSpaceDE w:val="0"/>
        <w:autoSpaceDN w:val="0"/>
        <w:adjustRightInd w:val="0"/>
        <w:spacing w:after="0"/>
        <w:rPr>
          <w:rFonts w:ascii="Verdana" w:hAnsi="Verdana"/>
          <w:sz w:val="20"/>
          <w:szCs w:val="20"/>
        </w:rPr>
      </w:pPr>
    </w:p>
    <w:tbl>
      <w:tblPr>
        <w:tblW w:w="7339" w:type="dxa"/>
        <w:tblLook w:val="04A0"/>
      </w:tblPr>
      <w:tblGrid>
        <w:gridCol w:w="2977"/>
        <w:gridCol w:w="992"/>
        <w:gridCol w:w="1134"/>
        <w:gridCol w:w="1102"/>
        <w:gridCol w:w="1134"/>
      </w:tblGrid>
      <w:tr w:rsidTr="00177D2D">
        <w:tblPrEx>
          <w:tblW w:w="7339" w:type="dxa"/>
          <w:tblLook w:val="04A0"/>
        </w:tblPrEx>
        <w:trPr>
          <w:trHeight w:val="255"/>
        </w:trPr>
        <w:tc>
          <w:tcPr>
            <w:tcW w:w="2977" w:type="dxa"/>
            <w:tcBorders>
              <w:top w:val="nil"/>
              <w:left w:val="nil"/>
              <w:bottom w:val="nil"/>
              <w:right w:val="nil"/>
            </w:tcBorders>
            <w:shd w:val="clear" w:color="000000" w:fill="FFFFFF"/>
            <w:noWrap/>
            <w:hideMark/>
          </w:tcPr>
          <w:p w:rsidR="00177D2D" w:rsidRPr="00F046BA" w:rsidP="00635B6D">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 </w:t>
            </w:r>
          </w:p>
        </w:tc>
        <w:tc>
          <w:tcPr>
            <w:tcW w:w="436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177D2D" w:rsidRPr="00F046BA" w:rsidP="00635B6D">
            <w:pPr>
              <w:spacing w:after="0" w:line="240" w:lineRule="auto"/>
              <w:jc w:val="center"/>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Proposals</w:t>
            </w:r>
          </w:p>
        </w:tc>
      </w:tr>
      <w:tr w:rsidTr="00177D2D">
        <w:tblPrEx>
          <w:tblW w:w="7339" w:type="dxa"/>
          <w:tblLook w:val="04A0"/>
        </w:tblPrEx>
        <w:trPr>
          <w:trHeight w:val="255"/>
        </w:trPr>
        <w:tc>
          <w:tcPr>
            <w:tcW w:w="2977" w:type="dxa"/>
            <w:tcBorders>
              <w:top w:val="nil"/>
              <w:left w:val="nil"/>
              <w:bottom w:val="nil"/>
              <w:right w:val="nil"/>
            </w:tcBorders>
            <w:shd w:val="clear" w:color="000000" w:fill="FFFFFF"/>
            <w:noWrap/>
            <w:hideMark/>
          </w:tcPr>
          <w:p w:rsidR="00177D2D" w:rsidRPr="00F046BA" w:rsidP="00635B6D">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77D2D" w:rsidRPr="00F046BA" w:rsidP="00635B6D">
            <w:pPr>
              <w:spacing w:after="0" w:line="240" w:lineRule="auto"/>
              <w:jc w:val="center"/>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For</w:t>
            </w:r>
          </w:p>
        </w:tc>
        <w:tc>
          <w:tcPr>
            <w:tcW w:w="1134" w:type="dxa"/>
            <w:tcBorders>
              <w:top w:val="nil"/>
              <w:left w:val="nil"/>
              <w:bottom w:val="single" w:sz="4" w:space="0" w:color="auto"/>
              <w:right w:val="single" w:sz="4" w:space="0" w:color="auto"/>
            </w:tcBorders>
            <w:shd w:val="clear" w:color="000000" w:fill="FFFFFF"/>
            <w:noWrap/>
            <w:hideMark/>
          </w:tcPr>
          <w:p w:rsidR="00177D2D" w:rsidRPr="00F046BA" w:rsidP="00635B6D">
            <w:pPr>
              <w:spacing w:after="0" w:line="240" w:lineRule="auto"/>
              <w:jc w:val="center"/>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Against</w:t>
            </w:r>
          </w:p>
        </w:tc>
        <w:tc>
          <w:tcPr>
            <w:tcW w:w="1102" w:type="dxa"/>
            <w:tcBorders>
              <w:top w:val="nil"/>
              <w:left w:val="nil"/>
              <w:bottom w:val="single" w:sz="4" w:space="0" w:color="auto"/>
              <w:right w:val="single" w:sz="4" w:space="0" w:color="auto"/>
            </w:tcBorders>
            <w:shd w:val="clear" w:color="000000" w:fill="FFFFFF"/>
            <w:noWrap/>
            <w:hideMark/>
          </w:tcPr>
          <w:p w:rsidR="00177D2D" w:rsidRPr="00F046BA" w:rsidP="00635B6D">
            <w:pPr>
              <w:spacing w:after="0" w:line="240" w:lineRule="auto"/>
              <w:jc w:val="center"/>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Withhold</w:t>
            </w:r>
          </w:p>
        </w:tc>
        <w:tc>
          <w:tcPr>
            <w:tcW w:w="1134" w:type="dxa"/>
            <w:tcBorders>
              <w:top w:val="nil"/>
              <w:left w:val="nil"/>
              <w:bottom w:val="single" w:sz="4" w:space="0" w:color="auto"/>
              <w:right w:val="single" w:sz="4" w:space="0" w:color="auto"/>
            </w:tcBorders>
            <w:shd w:val="clear" w:color="000000" w:fill="FFFFFF"/>
            <w:noWrap/>
            <w:hideMark/>
          </w:tcPr>
          <w:p w:rsidR="00177D2D" w:rsidRPr="00F046BA" w:rsidP="00635B6D">
            <w:pPr>
              <w:spacing w:after="0" w:line="240" w:lineRule="auto"/>
              <w:jc w:val="center"/>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Total</w:t>
            </w:r>
          </w:p>
        </w:tc>
      </w:tr>
      <w:tr w:rsidTr="001C1C42">
        <w:tblPrEx>
          <w:tblW w:w="7339" w:type="dxa"/>
          <w:tblLook w:val="04A0"/>
        </w:tblPrEx>
        <w:trPr>
          <w:trHeight w:val="255"/>
        </w:trPr>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Anti-takeover Related</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2</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Capitalization</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34</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3</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38</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Director Related</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423</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28</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453</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Non-Salary Compensation</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71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8</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4</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83</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Preferred/Bondholder</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4</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 xml:space="preserve">Reorg. and </w:t>
            </w:r>
            <w:r w:rsidRPr="00F046BA">
              <w:rPr>
                <w:rFonts w:ascii="Verdana" w:eastAsia="Times New Roman" w:hAnsi="Verdana" w:cs="Arial"/>
                <w:color w:val="000000"/>
                <w:sz w:val="20"/>
                <w:szCs w:val="20"/>
                <w:lang w:eastAsia="en-GB"/>
              </w:rPr>
              <w:t>Mergers</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41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43</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Routine/Business</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218</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8</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8</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234</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SH-Compensation</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4</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5</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SH-Co</w:t>
            </w:r>
            <w:r>
              <w:rPr>
                <w:rFonts w:ascii="Verdana" w:eastAsia="Times New Roman" w:hAnsi="Verdana" w:cs="Arial"/>
                <w:color w:val="000000"/>
                <w:sz w:val="20"/>
                <w:szCs w:val="20"/>
                <w:lang w:eastAsia="en-GB"/>
              </w:rPr>
              <w:t xml:space="preserve">rp </w:t>
            </w:r>
            <w:r>
              <w:rPr>
                <w:rFonts w:ascii="Verdana" w:eastAsia="Times New Roman" w:hAnsi="Verdana" w:cs="Arial"/>
                <w:color w:val="000000"/>
                <w:sz w:val="20"/>
                <w:szCs w:val="20"/>
                <w:lang w:eastAsia="en-GB"/>
              </w:rPr>
              <w:t>Gov</w:t>
            </w:r>
          </w:p>
        </w:tc>
        <w:tc>
          <w:tcPr>
            <w:tcW w:w="992" w:type="dxa"/>
            <w:tcBorders>
              <w:top w:val="nil"/>
              <w:left w:val="nil"/>
              <w:bottom w:val="single" w:sz="8" w:space="0" w:color="auto"/>
              <w:right w:val="single" w:sz="8" w:space="0" w:color="auto"/>
            </w:tcBorders>
            <w:shd w:val="clear" w:color="000000" w:fill="FFFFFF"/>
            <w:noWrap/>
            <w:vAlign w:val="center"/>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1</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SH-Director Related</w:t>
            </w:r>
          </w:p>
        </w:tc>
        <w:tc>
          <w:tcPr>
            <w:tcW w:w="992" w:type="dxa"/>
            <w:tcBorders>
              <w:top w:val="nil"/>
              <w:left w:val="nil"/>
              <w:bottom w:val="single" w:sz="8" w:space="0" w:color="auto"/>
              <w:right w:val="single" w:sz="8" w:space="0" w:color="auto"/>
            </w:tcBorders>
            <w:shd w:val="clear" w:color="000000" w:fill="FFFFFF"/>
            <w:noWrap/>
            <w:vAlign w:val="center"/>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4</w:t>
            </w:r>
          </w:p>
        </w:tc>
        <w:tc>
          <w:tcPr>
            <w:tcW w:w="1134" w:type="dxa"/>
            <w:tcBorders>
              <w:top w:val="nil"/>
              <w:left w:val="nil"/>
              <w:bottom w:val="single" w:sz="8" w:space="0" w:color="auto"/>
              <w:right w:val="single" w:sz="8" w:space="0" w:color="auto"/>
            </w:tcBorders>
            <w:shd w:val="clear" w:color="000000" w:fill="FFFFFF"/>
            <w:noWrap/>
            <w:vAlign w:val="center"/>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5</w:t>
            </w:r>
          </w:p>
        </w:tc>
        <w:tc>
          <w:tcPr>
            <w:tcW w:w="1102" w:type="dxa"/>
            <w:tcBorders>
              <w:top w:val="nil"/>
              <w:left w:val="nil"/>
              <w:bottom w:val="single" w:sz="8" w:space="0" w:color="auto"/>
              <w:right w:val="single" w:sz="8" w:space="0" w:color="auto"/>
            </w:tcBorders>
            <w:shd w:val="clear" w:color="000000" w:fill="FFFFFF"/>
            <w:noWrap/>
            <w:vAlign w:val="center"/>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9</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w:t>
            </w:r>
            <w:r>
              <w:rPr>
                <w:rFonts w:ascii="Verdana" w:eastAsia="Times New Roman" w:hAnsi="Verdana" w:cs="Arial"/>
                <w:color w:val="000000"/>
                <w:sz w:val="20"/>
                <w:szCs w:val="20"/>
                <w:lang w:eastAsia="en-GB"/>
              </w:rPr>
              <w:t>Health/</w:t>
            </w:r>
            <w:r>
              <w:rPr>
                <w:rFonts w:ascii="Verdana" w:eastAsia="Times New Roman" w:hAnsi="Verdana" w:cs="Arial"/>
                <w:color w:val="000000"/>
                <w:sz w:val="20"/>
                <w:szCs w:val="20"/>
                <w:lang w:eastAsia="en-GB"/>
              </w:rPr>
              <w:t>Env</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2</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SH-Other/Miscellaneous</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3</w:t>
            </w:r>
          </w:p>
        </w:tc>
      </w:tr>
      <w:tr w:rsidTr="001C1C42">
        <w:tblPrEx>
          <w:tblW w:w="7339" w:type="dxa"/>
          <w:tblLook w:val="04A0"/>
        </w:tblPrEx>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A61D74" w:rsidRPr="00F046BA" w:rsidP="00A61D74">
            <w:pPr>
              <w:spacing w:after="0" w:line="240" w:lineRule="auto"/>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SH-Routine/Business</w:t>
            </w:r>
          </w:p>
        </w:tc>
        <w:tc>
          <w:tcPr>
            <w:tcW w:w="99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4</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1</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6</w:t>
            </w:r>
          </w:p>
        </w:tc>
      </w:tr>
      <w:tr w:rsidTr="001C1C42">
        <w:tblPrEx>
          <w:tblW w:w="7339" w:type="dxa"/>
          <w:tblLook w:val="04A0"/>
        </w:tblPrEx>
        <w:trPr>
          <w:trHeight w:val="255"/>
        </w:trPr>
        <w:tc>
          <w:tcPr>
            <w:tcW w:w="2977" w:type="dxa"/>
            <w:tcBorders>
              <w:top w:val="nil"/>
              <w:left w:val="nil"/>
              <w:bottom w:val="nil"/>
              <w:right w:val="nil"/>
            </w:tcBorders>
            <w:shd w:val="clear" w:color="000000" w:fill="FFFFFF"/>
            <w:noWrap/>
            <w:hideMark/>
          </w:tcPr>
          <w:p w:rsidR="00A61D74" w:rsidRPr="00F046BA" w:rsidP="00A61D74">
            <w:pPr>
              <w:spacing w:after="0" w:line="240" w:lineRule="auto"/>
              <w:jc w:val="right"/>
              <w:rPr>
                <w:rFonts w:ascii="Verdana" w:eastAsia="Times New Roman" w:hAnsi="Verdana" w:cs="Arial"/>
                <w:color w:val="000000"/>
                <w:sz w:val="20"/>
                <w:szCs w:val="20"/>
                <w:lang w:eastAsia="en-GB"/>
              </w:rPr>
            </w:pPr>
            <w:r w:rsidRPr="00F046BA">
              <w:rPr>
                <w:rFonts w:ascii="Verdana" w:eastAsia="Times New Roman" w:hAnsi="Verdana" w:cs="Arial"/>
                <w:color w:val="000000"/>
                <w:sz w:val="20"/>
                <w:szCs w:val="20"/>
                <w:lang w:eastAsia="en-GB"/>
              </w:rPr>
              <w:t>Total</w:t>
            </w:r>
          </w:p>
        </w:tc>
        <w:tc>
          <w:tcPr>
            <w:tcW w:w="992" w:type="dxa"/>
            <w:tcBorders>
              <w:top w:val="nil"/>
              <w:left w:val="single" w:sz="8" w:space="0" w:color="auto"/>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803</w:t>
            </w:r>
          </w:p>
        </w:tc>
        <w:tc>
          <w:tcPr>
            <w:tcW w:w="1134"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60</w:t>
            </w:r>
          </w:p>
        </w:tc>
        <w:tc>
          <w:tcPr>
            <w:tcW w:w="1102" w:type="dxa"/>
            <w:tcBorders>
              <w:top w:val="nil"/>
              <w:left w:val="nil"/>
              <w:bottom w:val="single" w:sz="8" w:space="0" w:color="auto"/>
              <w:right w:val="single" w:sz="8" w:space="0" w:color="auto"/>
            </w:tcBorders>
            <w:shd w:val="clear" w:color="000000" w:fill="FFFFFF"/>
            <w:noWrap/>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Calibri" w:hAnsi="Calibri" w:cs="Arial"/>
                <w:color w:val="000000"/>
              </w:rPr>
              <w:t>20</w:t>
            </w:r>
          </w:p>
        </w:tc>
        <w:tc>
          <w:tcPr>
            <w:tcW w:w="1134" w:type="dxa"/>
            <w:tcBorders>
              <w:top w:val="nil"/>
              <w:left w:val="nil"/>
              <w:bottom w:val="single" w:sz="8" w:space="0" w:color="auto"/>
              <w:right w:val="single" w:sz="8" w:space="0" w:color="auto"/>
            </w:tcBorders>
            <w:shd w:val="clear" w:color="000000" w:fill="FFFFFF"/>
            <w:noWrap/>
            <w:vAlign w:val="center"/>
            <w:hideMark/>
          </w:tcPr>
          <w:p w:rsidR="00A61D74" w:rsidRPr="00F046BA" w:rsidP="00A61D74">
            <w:pPr>
              <w:spacing w:after="0" w:line="240" w:lineRule="auto"/>
              <w:jc w:val="center"/>
              <w:rPr>
                <w:rFonts w:ascii="Verdana" w:eastAsia="Times New Roman" w:hAnsi="Verdana" w:cs="Arial"/>
                <w:color w:val="000000"/>
                <w:sz w:val="20"/>
                <w:szCs w:val="20"/>
                <w:lang w:eastAsia="en-GB"/>
              </w:rPr>
            </w:pPr>
            <w:r>
              <w:rPr>
                <w:rFonts w:ascii="Verdana" w:hAnsi="Verdana" w:cs="Arial"/>
                <w:color w:val="000000"/>
                <w:sz w:val="20"/>
                <w:szCs w:val="20"/>
              </w:rPr>
              <w:t>883</w:t>
            </w:r>
          </w:p>
        </w:tc>
      </w:tr>
    </w:tbl>
    <w:p w:rsidR="00635B6D" w:rsidRPr="00F046BA" w:rsidP="00EA4636">
      <w:pPr>
        <w:autoSpaceDE w:val="0"/>
        <w:autoSpaceDN w:val="0"/>
        <w:adjustRightInd w:val="0"/>
        <w:spacing w:after="0"/>
        <w:rPr>
          <w:rFonts w:ascii="Verdana" w:hAnsi="Verdana" w:cs="Arial"/>
          <w:bCs/>
          <w:color w:val="183850" w:themeColor="text1"/>
          <w:sz w:val="20"/>
          <w:szCs w:val="20"/>
          <w:u w:val="single"/>
        </w:rPr>
      </w:pPr>
    </w:p>
    <w:p w:rsidR="001A0601" w:rsidRPr="003606C9" w:rsidP="003606C9">
      <w:pPr>
        <w:pStyle w:val="treb"/>
        <w:numPr>
          <w:ilvl w:val="0"/>
          <w:numId w:val="0"/>
        </w:numPr>
        <w:spacing w:after="0"/>
        <w:rPr>
          <w:rFonts w:ascii="Verdana" w:hAnsi="Verdana"/>
          <w:b w:val="0"/>
          <w:sz w:val="20"/>
          <w:szCs w:val="20"/>
        </w:rPr>
      </w:pPr>
    </w:p>
    <w:p w:rsidR="007D6EFE" w:rsidP="007D6EFE">
      <w:pPr>
        <w:spacing w:after="0" w:line="240" w:lineRule="auto"/>
        <w:rPr>
          <w:rFonts w:cs="Arial"/>
          <w:color w:val="000000"/>
          <w:szCs w:val="20"/>
        </w:rPr>
      </w:pPr>
      <w:r w:rsidRPr="00635B6D">
        <w:rPr>
          <w:rFonts w:ascii="Verdana" w:hAnsi="Verdana" w:cs="Arial"/>
          <w:bCs/>
          <w:sz w:val="20"/>
          <w:szCs w:val="20"/>
        </w:rPr>
        <w:t>LPP</w:t>
      </w:r>
      <w:r>
        <w:rPr>
          <w:rFonts w:ascii="Verdana" w:hAnsi="Verdana" w:cs="Arial"/>
          <w:bCs/>
          <w:sz w:val="20"/>
          <w:szCs w:val="20"/>
        </w:rPr>
        <w:t xml:space="preserve">I </w:t>
      </w:r>
      <w:r w:rsidRPr="00635B6D">
        <w:rPr>
          <w:rFonts w:ascii="Verdana" w:hAnsi="Verdana" w:cs="Arial"/>
          <w:bCs/>
          <w:sz w:val="20"/>
          <w:szCs w:val="20"/>
        </w:rPr>
        <w:t xml:space="preserve">voted against </w:t>
      </w:r>
      <w:r>
        <w:rPr>
          <w:rFonts w:ascii="Verdana" w:hAnsi="Verdana" w:cs="Arial"/>
          <w:bCs/>
          <w:sz w:val="20"/>
          <w:szCs w:val="20"/>
        </w:rPr>
        <w:t xml:space="preserve">or withheld support for </w:t>
      </w:r>
      <w:r w:rsidRPr="00635B6D">
        <w:rPr>
          <w:rFonts w:ascii="Verdana" w:hAnsi="Verdana" w:cs="Arial"/>
          <w:bCs/>
          <w:sz w:val="20"/>
          <w:szCs w:val="20"/>
        </w:rPr>
        <w:t xml:space="preserve">management </w:t>
      </w:r>
      <w:r>
        <w:rPr>
          <w:rFonts w:ascii="Verdana" w:hAnsi="Verdana" w:cs="Arial"/>
          <w:bCs/>
          <w:sz w:val="20"/>
          <w:szCs w:val="20"/>
        </w:rPr>
        <w:t>proposals</w:t>
      </w:r>
      <w:r w:rsidRPr="00635B6D">
        <w:rPr>
          <w:rFonts w:ascii="Verdana" w:hAnsi="Verdana" w:cs="Arial"/>
          <w:bCs/>
          <w:sz w:val="20"/>
          <w:szCs w:val="20"/>
        </w:rPr>
        <w:t xml:space="preserve"> in </w:t>
      </w:r>
      <w:r>
        <w:rPr>
          <w:rFonts w:ascii="Verdana" w:hAnsi="Verdana" w:cs="Arial"/>
          <w:bCs/>
          <w:sz w:val="20"/>
          <w:szCs w:val="20"/>
        </w:rPr>
        <w:t>66</w:t>
      </w:r>
      <w:r w:rsidRPr="00635B6D">
        <w:rPr>
          <w:rFonts w:ascii="Verdana" w:hAnsi="Verdana" w:cs="Arial"/>
          <w:bCs/>
          <w:sz w:val="20"/>
          <w:szCs w:val="20"/>
        </w:rPr>
        <w:t xml:space="preserve"> instances</w:t>
      </w:r>
      <w:r>
        <w:rPr>
          <w:rFonts w:ascii="Verdana" w:hAnsi="Verdana" w:cs="Arial"/>
          <w:bCs/>
          <w:sz w:val="20"/>
          <w:szCs w:val="20"/>
        </w:rPr>
        <w:t xml:space="preserve"> (across 15 company meetings). </w:t>
      </w:r>
    </w:p>
    <w:p w:rsidR="009D678E" w:rsidP="009D678E">
      <w:pPr>
        <w:autoSpaceDE w:val="0"/>
        <w:autoSpaceDN w:val="0"/>
        <w:adjustRightInd w:val="0"/>
        <w:spacing w:after="0"/>
        <w:rPr>
          <w:rFonts w:ascii="Verdana" w:hAnsi="Verdana" w:cs="Arial"/>
          <w:bCs/>
          <w:sz w:val="20"/>
          <w:szCs w:val="20"/>
        </w:rPr>
      </w:pPr>
    </w:p>
    <w:p w:rsidR="009D678E" w:rsidP="009D678E">
      <w:pPr>
        <w:autoSpaceDE w:val="0"/>
        <w:autoSpaceDN w:val="0"/>
        <w:adjustRightInd w:val="0"/>
        <w:spacing w:after="0"/>
        <w:rPr>
          <w:rFonts w:ascii="Verdana" w:hAnsi="Verdana" w:cs="Arial"/>
          <w:bCs/>
          <w:sz w:val="20"/>
          <w:szCs w:val="20"/>
        </w:rPr>
      </w:pPr>
      <w:r>
        <w:rPr>
          <w:rFonts w:ascii="Verdana" w:hAnsi="Verdana" w:cs="Arial"/>
          <w:bCs/>
          <w:sz w:val="20"/>
          <w:szCs w:val="20"/>
        </w:rPr>
        <w:t xml:space="preserve">This included </w:t>
      </w:r>
      <w:r w:rsidRPr="006F5AD6">
        <w:rPr>
          <w:rFonts w:ascii="Verdana" w:hAnsi="Verdana" w:cs="Arial"/>
          <w:bCs/>
          <w:sz w:val="20"/>
          <w:szCs w:val="20"/>
        </w:rPr>
        <w:t xml:space="preserve">opposing management nominations in the election / re-election of </w:t>
      </w:r>
      <w:r>
        <w:rPr>
          <w:rFonts w:ascii="Verdana" w:hAnsi="Verdana" w:cs="Arial"/>
          <w:bCs/>
          <w:sz w:val="20"/>
          <w:szCs w:val="20"/>
        </w:rPr>
        <w:t>30</w:t>
      </w:r>
      <w:r>
        <w:rPr>
          <w:rFonts w:ascii="Verdana" w:hAnsi="Verdana" w:cs="Arial"/>
          <w:bCs/>
          <w:sz w:val="20"/>
          <w:szCs w:val="20"/>
        </w:rPr>
        <w:t xml:space="preserve"> </w:t>
      </w:r>
      <w:r w:rsidRPr="006F5AD6">
        <w:rPr>
          <w:rFonts w:ascii="Verdana" w:hAnsi="Verdana" w:cs="Arial"/>
          <w:bCs/>
          <w:sz w:val="20"/>
          <w:szCs w:val="20"/>
        </w:rPr>
        <w:t xml:space="preserve">directors. Voting reflected </w:t>
      </w:r>
      <w:r>
        <w:rPr>
          <w:rFonts w:ascii="Verdana" w:hAnsi="Verdana" w:cs="Arial"/>
          <w:bCs/>
          <w:sz w:val="20"/>
          <w:szCs w:val="20"/>
        </w:rPr>
        <w:t xml:space="preserve">concerns with </w:t>
      </w:r>
      <w:r w:rsidRPr="006F5AD6">
        <w:rPr>
          <w:rFonts w:ascii="Verdana" w:hAnsi="Verdana" w:cs="Arial"/>
          <w:bCs/>
          <w:sz w:val="20"/>
          <w:szCs w:val="20"/>
        </w:rPr>
        <w:t>the composition and independence of com</w:t>
      </w:r>
      <w:r w:rsidRPr="006F5AD6">
        <w:rPr>
          <w:rFonts w:ascii="Verdana" w:hAnsi="Verdana" w:cs="Arial"/>
          <w:bCs/>
          <w:sz w:val="20"/>
          <w:szCs w:val="20"/>
        </w:rPr>
        <w:t xml:space="preserve">pany </w:t>
      </w:r>
      <w:r w:rsidRPr="00C857CD">
        <w:rPr>
          <w:rFonts w:ascii="Verdana" w:hAnsi="Verdana" w:cs="Arial"/>
          <w:bCs/>
          <w:sz w:val="20"/>
          <w:szCs w:val="20"/>
        </w:rPr>
        <w:t xml:space="preserve">boards as a whole, and with the independence of individual Board members. </w:t>
      </w:r>
    </w:p>
    <w:p w:rsidR="007D6EFE" w:rsidP="007D6EFE">
      <w:pPr>
        <w:spacing w:after="0" w:line="240" w:lineRule="auto"/>
        <w:rPr>
          <w:rFonts w:cs="Arial"/>
          <w:color w:val="000000"/>
          <w:szCs w:val="20"/>
        </w:rPr>
      </w:pPr>
    </w:p>
    <w:p w:rsidR="007D6EFE" w:rsidRPr="005E6C7A" w:rsidP="005E6C7A">
      <w:pPr>
        <w:autoSpaceDE w:val="0"/>
        <w:autoSpaceDN w:val="0"/>
        <w:adjustRightInd w:val="0"/>
        <w:spacing w:after="0"/>
        <w:rPr>
          <w:rFonts w:ascii="Verdana" w:hAnsi="Verdana" w:cs="Arial"/>
          <w:bCs/>
          <w:sz w:val="20"/>
          <w:szCs w:val="20"/>
        </w:rPr>
      </w:pPr>
      <w:r w:rsidRPr="005E6C7A">
        <w:rPr>
          <w:rFonts w:ascii="Verdana" w:hAnsi="Verdana" w:cs="Arial"/>
          <w:bCs/>
          <w:sz w:val="20"/>
          <w:szCs w:val="20"/>
        </w:rPr>
        <w:t xml:space="preserve">LPPI voted against all non-independent directors at the Canon AGM (Japanese Technology </w:t>
      </w:r>
      <w:r w:rsidRPr="005E6C7A">
        <w:rPr>
          <w:rFonts w:ascii="Verdana" w:hAnsi="Verdana" w:cs="Arial"/>
          <w:bCs/>
          <w:sz w:val="20"/>
          <w:szCs w:val="20"/>
        </w:rPr>
        <w:t>company</w:t>
      </w:r>
      <w:r w:rsidRPr="005E6C7A">
        <w:rPr>
          <w:rFonts w:ascii="Verdana" w:hAnsi="Verdana" w:cs="Arial"/>
          <w:bCs/>
          <w:sz w:val="20"/>
          <w:szCs w:val="20"/>
        </w:rPr>
        <w:t xml:space="preserve">) as four of the six board members are insiders (33% independence) and the board lacks gender diversity. (Result: 8% against) </w:t>
      </w:r>
    </w:p>
    <w:p w:rsidR="007D6EFE" w:rsidRPr="005E6C7A" w:rsidP="005E6C7A">
      <w:pPr>
        <w:autoSpaceDE w:val="0"/>
        <w:autoSpaceDN w:val="0"/>
        <w:adjustRightInd w:val="0"/>
        <w:spacing w:after="0"/>
        <w:rPr>
          <w:rFonts w:ascii="Verdana" w:hAnsi="Verdana" w:cs="Arial"/>
          <w:bCs/>
          <w:sz w:val="20"/>
          <w:szCs w:val="20"/>
        </w:rPr>
      </w:pPr>
    </w:p>
    <w:p w:rsidR="007D6EFE" w:rsidRPr="005E6C7A" w:rsidP="005E6C7A">
      <w:pPr>
        <w:autoSpaceDE w:val="0"/>
        <w:autoSpaceDN w:val="0"/>
        <w:adjustRightInd w:val="0"/>
        <w:spacing w:after="0"/>
        <w:rPr>
          <w:rFonts w:ascii="Verdana" w:hAnsi="Verdana" w:cs="Arial"/>
          <w:bCs/>
          <w:sz w:val="20"/>
          <w:szCs w:val="20"/>
        </w:rPr>
      </w:pPr>
      <w:r w:rsidRPr="005E6C7A">
        <w:rPr>
          <w:rFonts w:ascii="Verdana" w:hAnsi="Verdana" w:cs="Arial"/>
          <w:bCs/>
          <w:sz w:val="20"/>
          <w:szCs w:val="20"/>
        </w:rPr>
        <w:t>LPPI voted against the re-election</w:t>
      </w:r>
      <w:r w:rsidRPr="005E6C7A">
        <w:rPr>
          <w:rFonts w:ascii="Verdana" w:hAnsi="Verdana" w:cs="Arial"/>
          <w:bCs/>
          <w:sz w:val="20"/>
          <w:szCs w:val="20"/>
        </w:rPr>
        <w:t xml:space="preserve"> of a director proposed by JM Financials (Indian Investment Bank) as the individual failed to attend at least 75% of board meetings in the fiscal year with no satisfactory explanation. (Result: 9% against) </w:t>
      </w:r>
    </w:p>
    <w:p w:rsidR="007D6EFE" w:rsidRPr="005E6C7A" w:rsidP="005E6C7A">
      <w:pPr>
        <w:autoSpaceDE w:val="0"/>
        <w:autoSpaceDN w:val="0"/>
        <w:adjustRightInd w:val="0"/>
        <w:spacing w:after="0"/>
        <w:rPr>
          <w:rFonts w:ascii="Verdana" w:hAnsi="Verdana" w:cs="Arial"/>
          <w:bCs/>
          <w:sz w:val="20"/>
          <w:szCs w:val="20"/>
        </w:rPr>
      </w:pPr>
    </w:p>
    <w:p w:rsidR="007D6EFE" w:rsidRPr="005E6C7A" w:rsidP="005E6C7A">
      <w:pPr>
        <w:autoSpaceDE w:val="0"/>
        <w:autoSpaceDN w:val="0"/>
        <w:adjustRightInd w:val="0"/>
        <w:spacing w:after="0"/>
        <w:rPr>
          <w:rFonts w:ascii="Verdana" w:hAnsi="Verdana" w:cs="Arial"/>
          <w:bCs/>
          <w:sz w:val="20"/>
          <w:szCs w:val="20"/>
        </w:rPr>
      </w:pPr>
      <w:r w:rsidRPr="005E6C7A">
        <w:rPr>
          <w:rFonts w:ascii="Verdana" w:hAnsi="Verdana" w:cs="Arial"/>
          <w:bCs/>
          <w:sz w:val="20"/>
          <w:szCs w:val="20"/>
        </w:rPr>
        <w:t xml:space="preserve">LPPI voted against all directors at </w:t>
      </w:r>
      <w:r w:rsidRPr="005E6C7A">
        <w:rPr>
          <w:rFonts w:ascii="Verdana" w:hAnsi="Verdana" w:cs="Arial"/>
          <w:bCs/>
          <w:sz w:val="20"/>
          <w:szCs w:val="20"/>
        </w:rPr>
        <w:t>Groupo</w:t>
      </w:r>
      <w:r w:rsidRPr="005E6C7A">
        <w:rPr>
          <w:rFonts w:ascii="Verdana" w:hAnsi="Verdana" w:cs="Arial"/>
          <w:bCs/>
          <w:sz w:val="20"/>
          <w:szCs w:val="20"/>
        </w:rPr>
        <w:t xml:space="preserve"> LALA (Mexican consumer staples) for poor practices including failing to disclose the names of director nominees in sufficient time, not adequately disclosing </w:t>
      </w:r>
      <w:r w:rsidRPr="007D6EFE">
        <w:rPr>
          <w:rFonts w:ascii="Verdana" w:hAnsi="Verdana" w:cs="Arial"/>
          <w:bCs/>
          <w:sz w:val="20"/>
          <w:szCs w:val="20"/>
        </w:rPr>
        <w:t xml:space="preserve">director remuneration </w:t>
      </w:r>
      <w:r w:rsidRPr="005E6C7A">
        <w:rPr>
          <w:rFonts w:ascii="Verdana" w:hAnsi="Verdana" w:cs="Arial"/>
          <w:bCs/>
          <w:sz w:val="20"/>
          <w:szCs w:val="20"/>
        </w:rPr>
        <w:t xml:space="preserve">and bundling the election of its </w:t>
      </w:r>
      <w:r w:rsidRPr="005E6C7A">
        <w:rPr>
          <w:rFonts w:ascii="Verdana" w:hAnsi="Verdana" w:cs="Arial"/>
          <w:bCs/>
          <w:sz w:val="20"/>
          <w:szCs w:val="20"/>
        </w:rPr>
        <w:t>directors into a single voting item. (Result: all proposals passed – detailed voting statistics unavailable).</w:t>
      </w:r>
    </w:p>
    <w:p w:rsidR="007D6EFE" w:rsidRPr="005E6C7A" w:rsidP="005E6C7A">
      <w:pPr>
        <w:autoSpaceDE w:val="0"/>
        <w:autoSpaceDN w:val="0"/>
        <w:adjustRightInd w:val="0"/>
        <w:spacing w:after="0"/>
        <w:rPr>
          <w:rFonts w:ascii="Verdana" w:hAnsi="Verdana" w:cs="Arial"/>
          <w:bCs/>
          <w:sz w:val="20"/>
          <w:szCs w:val="20"/>
        </w:rPr>
      </w:pPr>
    </w:p>
    <w:p w:rsidR="009D678E" w:rsidRPr="004E7F55" w:rsidP="007D6EFE">
      <w:pPr>
        <w:spacing w:after="0" w:line="240" w:lineRule="auto"/>
        <w:rPr>
          <w:rFonts w:ascii="Verdana" w:hAnsi="Verdana" w:cs="Arial"/>
          <w:color w:val="000000"/>
          <w:sz w:val="20"/>
          <w:szCs w:val="20"/>
        </w:rPr>
      </w:pPr>
      <w:r w:rsidRPr="004E7F55">
        <w:rPr>
          <w:rFonts w:ascii="Verdana" w:hAnsi="Verdana"/>
          <w:sz w:val="20"/>
          <w:szCs w:val="20"/>
        </w:rPr>
        <w:t>Management proposals on compensation arrangements prompted 1</w:t>
      </w:r>
      <w:r w:rsidRPr="004E7F55">
        <w:rPr>
          <w:rFonts w:ascii="Verdana" w:hAnsi="Verdana"/>
          <w:sz w:val="20"/>
          <w:szCs w:val="20"/>
        </w:rPr>
        <w:t>2</w:t>
      </w:r>
      <w:r w:rsidRPr="004E7F55">
        <w:rPr>
          <w:rFonts w:ascii="Verdana" w:hAnsi="Verdana"/>
          <w:sz w:val="20"/>
          <w:szCs w:val="20"/>
        </w:rPr>
        <w:t xml:space="preserve"> opposition votes. </w:t>
      </w:r>
      <w:r w:rsidRPr="004E7F55">
        <w:rPr>
          <w:rFonts w:ascii="Verdana" w:hAnsi="Verdana"/>
          <w:sz w:val="20"/>
          <w:szCs w:val="20"/>
        </w:rPr>
        <w:t>These were in reaction to e</w:t>
      </w:r>
      <w:r w:rsidRPr="004E7F55">
        <w:rPr>
          <w:rFonts w:ascii="Verdana" w:hAnsi="Verdana"/>
          <w:sz w:val="20"/>
          <w:szCs w:val="20"/>
        </w:rPr>
        <w:t xml:space="preserve">xamples </w:t>
      </w:r>
      <w:r w:rsidRPr="004E7F55">
        <w:rPr>
          <w:rFonts w:ascii="Verdana" w:hAnsi="Verdana"/>
          <w:sz w:val="20"/>
          <w:szCs w:val="20"/>
        </w:rPr>
        <w:t>of</w:t>
      </w:r>
      <w:r w:rsidRPr="004E7F55">
        <w:rPr>
          <w:rFonts w:ascii="Verdana" w:hAnsi="Verdana"/>
          <w:sz w:val="20"/>
          <w:szCs w:val="20"/>
        </w:rPr>
        <w:t xml:space="preserve"> poor </w:t>
      </w:r>
      <w:r w:rsidRPr="004E7F55">
        <w:rPr>
          <w:rFonts w:ascii="Verdana" w:hAnsi="Verdana"/>
          <w:sz w:val="20"/>
          <w:szCs w:val="20"/>
        </w:rPr>
        <w:t xml:space="preserve">practices and weak </w:t>
      </w:r>
      <w:r w:rsidRPr="004E7F55">
        <w:rPr>
          <w:rFonts w:ascii="Verdana" w:hAnsi="Verdana"/>
          <w:sz w:val="20"/>
          <w:szCs w:val="20"/>
        </w:rPr>
        <w:t>cor</w:t>
      </w:r>
      <w:r w:rsidRPr="004E7F55">
        <w:rPr>
          <w:rFonts w:ascii="Verdana" w:hAnsi="Verdana"/>
          <w:sz w:val="20"/>
          <w:szCs w:val="20"/>
        </w:rPr>
        <w:t>porate governance includ</w:t>
      </w:r>
      <w:r w:rsidRPr="004E7F55">
        <w:rPr>
          <w:rFonts w:ascii="Verdana" w:hAnsi="Verdana"/>
          <w:sz w:val="20"/>
          <w:szCs w:val="20"/>
        </w:rPr>
        <w:t>ing</w:t>
      </w:r>
      <w:r w:rsidRPr="004E7F55">
        <w:rPr>
          <w:rFonts w:ascii="Verdana" w:hAnsi="Verdana"/>
          <w:sz w:val="20"/>
          <w:szCs w:val="20"/>
        </w:rPr>
        <w:t xml:space="preserve"> </w:t>
      </w:r>
      <w:r w:rsidRPr="004E7F55">
        <w:rPr>
          <w:rFonts w:ascii="Verdana" w:hAnsi="Verdana"/>
          <w:sz w:val="20"/>
          <w:szCs w:val="20"/>
        </w:rPr>
        <w:t xml:space="preserve">inadequate information </w:t>
      </w:r>
      <w:r>
        <w:rPr>
          <w:rFonts w:ascii="Verdana" w:hAnsi="Verdana"/>
          <w:sz w:val="20"/>
          <w:szCs w:val="20"/>
        </w:rPr>
        <w:t xml:space="preserve">being </w:t>
      </w:r>
      <w:r w:rsidRPr="004E7F55">
        <w:rPr>
          <w:rFonts w:ascii="Verdana" w:hAnsi="Verdana"/>
          <w:sz w:val="20"/>
          <w:szCs w:val="20"/>
        </w:rPr>
        <w:t xml:space="preserve">released </w:t>
      </w:r>
      <w:r w:rsidRPr="004E7F55">
        <w:rPr>
          <w:rFonts w:ascii="Verdana" w:hAnsi="Verdana"/>
          <w:sz w:val="20"/>
          <w:szCs w:val="20"/>
        </w:rPr>
        <w:t xml:space="preserve">in an untimely manner, a lack of appropriate remuneration capping and </w:t>
      </w:r>
      <w:r w:rsidRPr="004E7F55">
        <w:rPr>
          <w:rFonts w:ascii="Verdana" w:hAnsi="Verdana"/>
          <w:sz w:val="20"/>
          <w:szCs w:val="20"/>
        </w:rPr>
        <w:t xml:space="preserve">inadequate </w:t>
      </w:r>
      <w:r w:rsidRPr="004E7F55">
        <w:rPr>
          <w:rFonts w:ascii="Verdana" w:hAnsi="Verdana"/>
          <w:sz w:val="20"/>
          <w:szCs w:val="20"/>
        </w:rPr>
        <w:t>disclosure of</w:t>
      </w:r>
      <w:r w:rsidRPr="004E7F55">
        <w:rPr>
          <w:rFonts w:ascii="Verdana" w:hAnsi="Verdana"/>
          <w:sz w:val="20"/>
          <w:szCs w:val="20"/>
        </w:rPr>
        <w:t xml:space="preserve"> performance conditions</w:t>
      </w:r>
      <w:r w:rsidRPr="004E7F55">
        <w:rPr>
          <w:rFonts w:ascii="Verdana" w:hAnsi="Verdana"/>
          <w:sz w:val="20"/>
          <w:szCs w:val="20"/>
        </w:rPr>
        <w:t>.</w:t>
      </w:r>
      <w:r w:rsidRPr="004E7F55">
        <w:rPr>
          <w:rFonts w:ascii="Verdana" w:hAnsi="Verdana"/>
          <w:sz w:val="20"/>
          <w:szCs w:val="20"/>
        </w:rPr>
        <w:t xml:space="preserve"> </w:t>
      </w:r>
    </w:p>
    <w:p w:rsidR="009D678E" w:rsidRPr="004E7F55" w:rsidP="009D678E">
      <w:pPr>
        <w:pStyle w:val="treb"/>
        <w:numPr>
          <w:ilvl w:val="0"/>
          <w:numId w:val="0"/>
        </w:numPr>
        <w:spacing w:after="0"/>
        <w:rPr>
          <w:rFonts w:ascii="Verdana" w:hAnsi="Verdana"/>
          <w:b w:val="0"/>
          <w:sz w:val="20"/>
          <w:szCs w:val="20"/>
        </w:rPr>
      </w:pPr>
    </w:p>
    <w:p w:rsidR="005F200E" w:rsidRPr="004E7F55" w:rsidP="005F200E">
      <w:pPr>
        <w:spacing w:after="0" w:line="240" w:lineRule="auto"/>
        <w:rPr>
          <w:rFonts w:ascii="Verdana" w:hAnsi="Verdana" w:cs="Arial"/>
          <w:color w:val="000000"/>
          <w:sz w:val="20"/>
          <w:szCs w:val="20"/>
        </w:rPr>
      </w:pPr>
      <w:r w:rsidRPr="004E7F55">
        <w:rPr>
          <w:rFonts w:ascii="Verdana" w:hAnsi="Verdana" w:cs="Arial"/>
          <w:color w:val="000000"/>
          <w:sz w:val="20"/>
          <w:szCs w:val="20"/>
        </w:rPr>
        <w:t xml:space="preserve">At Hua Hong Semiconductor Ltd (Hong Kong Information Technology) LPPI voted against the Share Option Scheme due </w:t>
      </w:r>
      <w:r w:rsidRPr="004E7F55">
        <w:rPr>
          <w:rFonts w:ascii="Verdana" w:hAnsi="Verdana" w:cs="Arial"/>
          <w:color w:val="000000"/>
          <w:sz w:val="20"/>
          <w:szCs w:val="20"/>
        </w:rPr>
        <w:t xml:space="preserve">to </w:t>
      </w:r>
      <w:r w:rsidRPr="004E7F55">
        <w:rPr>
          <w:rFonts w:ascii="Verdana" w:hAnsi="Verdana" w:cs="Arial"/>
          <w:color w:val="000000"/>
          <w:sz w:val="20"/>
          <w:szCs w:val="20"/>
        </w:rPr>
        <w:t xml:space="preserve">performance conditions not being adequately disclosed and directors being eligible to receive options who </w:t>
      </w:r>
      <w:r w:rsidRPr="004E7F55">
        <w:rPr>
          <w:rFonts w:ascii="Verdana" w:hAnsi="Verdana" w:cs="Arial"/>
          <w:color w:val="000000"/>
          <w:sz w:val="20"/>
          <w:szCs w:val="20"/>
        </w:rPr>
        <w:t>were</w:t>
      </w:r>
      <w:r w:rsidRPr="004E7F55">
        <w:rPr>
          <w:rFonts w:ascii="Verdana" w:hAnsi="Verdana" w:cs="Arial"/>
          <w:color w:val="000000"/>
          <w:sz w:val="20"/>
          <w:szCs w:val="20"/>
        </w:rPr>
        <w:t xml:space="preserve"> involved in the administration</w:t>
      </w:r>
      <w:r w:rsidRPr="004E7F55">
        <w:rPr>
          <w:rFonts w:ascii="Verdana" w:hAnsi="Verdana" w:cs="Arial"/>
          <w:color w:val="000000"/>
          <w:sz w:val="20"/>
          <w:szCs w:val="20"/>
        </w:rPr>
        <w:t xml:space="preserve"> of the compensation programme. (Result: 16% against)</w:t>
      </w:r>
    </w:p>
    <w:p w:rsidR="005F200E" w:rsidRPr="004E7F55" w:rsidP="009D678E">
      <w:pPr>
        <w:pStyle w:val="treb"/>
        <w:numPr>
          <w:ilvl w:val="0"/>
          <w:numId w:val="0"/>
        </w:numPr>
        <w:spacing w:after="0"/>
        <w:rPr>
          <w:rFonts w:ascii="Verdana" w:hAnsi="Verdana"/>
          <w:b w:val="0"/>
          <w:sz w:val="20"/>
          <w:szCs w:val="20"/>
        </w:rPr>
      </w:pPr>
    </w:p>
    <w:p w:rsidR="009D678E" w:rsidRPr="004E7F55" w:rsidP="009D678E">
      <w:pPr>
        <w:pStyle w:val="treb"/>
        <w:numPr>
          <w:ilvl w:val="0"/>
          <w:numId w:val="0"/>
        </w:numPr>
        <w:spacing w:after="0"/>
        <w:rPr>
          <w:rFonts w:ascii="Verdana" w:hAnsi="Verdana"/>
          <w:b w:val="0"/>
          <w:sz w:val="20"/>
          <w:szCs w:val="20"/>
        </w:rPr>
      </w:pPr>
      <w:r w:rsidRPr="004E7F55">
        <w:rPr>
          <w:rFonts w:ascii="Verdana" w:hAnsi="Verdana"/>
          <w:b w:val="0"/>
          <w:sz w:val="20"/>
          <w:szCs w:val="20"/>
        </w:rPr>
        <w:t xml:space="preserve">At </w:t>
      </w:r>
      <w:r w:rsidRPr="004E7F55">
        <w:rPr>
          <w:rFonts w:ascii="Verdana" w:hAnsi="Verdana"/>
          <w:b w:val="0"/>
          <w:sz w:val="20"/>
          <w:szCs w:val="20"/>
        </w:rPr>
        <w:t xml:space="preserve">Pepkor Holdings Ltd (South African consumer discretionary) </w:t>
      </w:r>
      <w:r w:rsidRPr="004E7F55">
        <w:rPr>
          <w:rFonts w:ascii="Verdana" w:hAnsi="Verdana"/>
          <w:b w:val="0"/>
          <w:sz w:val="20"/>
          <w:szCs w:val="20"/>
        </w:rPr>
        <w:t xml:space="preserve">LPPI voted against the </w:t>
      </w:r>
      <w:r w:rsidRPr="004E7F55">
        <w:rPr>
          <w:rFonts w:ascii="Verdana" w:hAnsi="Verdana"/>
          <w:b w:val="0"/>
          <w:sz w:val="20"/>
          <w:szCs w:val="20"/>
        </w:rPr>
        <w:t xml:space="preserve">Remuneration Implementation Report </w:t>
      </w:r>
      <w:r w:rsidRPr="004E7F55">
        <w:rPr>
          <w:rFonts w:ascii="Verdana" w:hAnsi="Verdana"/>
          <w:b w:val="0"/>
          <w:sz w:val="20"/>
          <w:szCs w:val="20"/>
        </w:rPr>
        <w:t>in opposition to a large increase in the CFO’s basic remuneration without adequat</w:t>
      </w:r>
      <w:r w:rsidRPr="004E7F55">
        <w:rPr>
          <w:rFonts w:ascii="Verdana" w:hAnsi="Verdana"/>
          <w:b w:val="0"/>
          <w:sz w:val="20"/>
          <w:szCs w:val="20"/>
        </w:rPr>
        <w:t xml:space="preserve">e supporting </w:t>
      </w:r>
      <w:r w:rsidRPr="004E7F55">
        <w:rPr>
          <w:rFonts w:ascii="Verdana" w:hAnsi="Verdana"/>
          <w:b w:val="0"/>
          <w:sz w:val="20"/>
          <w:szCs w:val="20"/>
        </w:rPr>
        <w:t>information/</w:t>
      </w:r>
      <w:r w:rsidRPr="004E7F55">
        <w:rPr>
          <w:rFonts w:ascii="Verdana" w:hAnsi="Verdana"/>
          <w:b w:val="0"/>
          <w:sz w:val="20"/>
          <w:szCs w:val="20"/>
        </w:rPr>
        <w:t>explanation</w:t>
      </w:r>
      <w:r w:rsidRPr="004E7F55">
        <w:rPr>
          <w:rFonts w:ascii="Verdana" w:hAnsi="Verdana"/>
          <w:b w:val="0"/>
          <w:sz w:val="20"/>
          <w:szCs w:val="20"/>
        </w:rPr>
        <w:t xml:space="preserve"> </w:t>
      </w:r>
      <w:r w:rsidRPr="004E7F55">
        <w:rPr>
          <w:rFonts w:ascii="Verdana" w:hAnsi="Verdana"/>
          <w:b w:val="0"/>
          <w:sz w:val="20"/>
          <w:szCs w:val="20"/>
        </w:rPr>
        <w:t>(Result</w:t>
      </w:r>
      <w:r w:rsidRPr="004E7F55">
        <w:rPr>
          <w:rFonts w:ascii="Verdana" w:hAnsi="Verdana"/>
          <w:b w:val="0"/>
          <w:sz w:val="20"/>
          <w:szCs w:val="20"/>
        </w:rPr>
        <w:t>:</w:t>
      </w:r>
      <w:r w:rsidRPr="004E7F55">
        <w:rPr>
          <w:rFonts w:ascii="Verdana" w:hAnsi="Verdana"/>
          <w:b w:val="0"/>
          <w:sz w:val="20"/>
          <w:szCs w:val="20"/>
        </w:rPr>
        <w:t>6</w:t>
      </w:r>
      <w:r w:rsidRPr="004E7F55">
        <w:rPr>
          <w:rFonts w:ascii="Verdana" w:hAnsi="Verdana"/>
          <w:b w:val="0"/>
          <w:sz w:val="20"/>
          <w:szCs w:val="20"/>
        </w:rPr>
        <w:t>% against).</w:t>
      </w:r>
    </w:p>
    <w:p w:rsidR="009D678E" w:rsidP="009D678E">
      <w:pPr>
        <w:autoSpaceDE w:val="0"/>
        <w:autoSpaceDN w:val="0"/>
        <w:adjustRightInd w:val="0"/>
        <w:spacing w:after="0"/>
        <w:rPr>
          <w:rFonts w:ascii="Verdana" w:hAnsi="Verdana" w:cs="Arial"/>
          <w:bCs/>
          <w:sz w:val="20"/>
          <w:szCs w:val="20"/>
        </w:rPr>
      </w:pPr>
    </w:p>
    <w:p w:rsidR="00281FE6" w:rsidP="009D678E">
      <w:pPr>
        <w:autoSpaceDE w:val="0"/>
        <w:autoSpaceDN w:val="0"/>
        <w:adjustRightInd w:val="0"/>
        <w:spacing w:after="0"/>
        <w:rPr>
          <w:rFonts w:ascii="Verdana" w:hAnsi="Verdana" w:cs="Arial"/>
          <w:bCs/>
          <w:sz w:val="20"/>
          <w:szCs w:val="20"/>
        </w:rPr>
      </w:pPr>
      <w:r w:rsidRPr="00635B6D">
        <w:rPr>
          <w:rFonts w:ascii="Verdana" w:hAnsi="Verdana" w:cs="Arial"/>
          <w:bCs/>
          <w:sz w:val="20"/>
          <w:szCs w:val="20"/>
        </w:rPr>
        <w:t>LPP</w:t>
      </w:r>
      <w:r>
        <w:rPr>
          <w:rFonts w:ascii="Verdana" w:hAnsi="Verdana" w:cs="Arial"/>
          <w:bCs/>
          <w:sz w:val="20"/>
          <w:szCs w:val="20"/>
        </w:rPr>
        <w:t>I</w:t>
      </w:r>
      <w:r w:rsidRPr="00635B6D">
        <w:rPr>
          <w:rFonts w:ascii="Verdana" w:hAnsi="Verdana" w:cs="Arial"/>
          <w:bCs/>
          <w:sz w:val="20"/>
          <w:szCs w:val="20"/>
        </w:rPr>
        <w:t xml:space="preserve"> supported </w:t>
      </w:r>
      <w:r>
        <w:rPr>
          <w:rFonts w:ascii="Verdana" w:hAnsi="Verdana" w:cs="Arial"/>
          <w:bCs/>
          <w:sz w:val="20"/>
          <w:szCs w:val="20"/>
        </w:rPr>
        <w:t>12</w:t>
      </w:r>
      <w:r w:rsidRPr="00635B6D">
        <w:rPr>
          <w:rFonts w:ascii="Verdana" w:hAnsi="Verdana" w:cs="Arial"/>
          <w:bCs/>
          <w:sz w:val="20"/>
          <w:szCs w:val="20"/>
        </w:rPr>
        <w:t xml:space="preserve"> shareholder proposals across </w:t>
      </w:r>
      <w:r>
        <w:rPr>
          <w:rFonts w:ascii="Verdana" w:hAnsi="Verdana" w:cs="Arial"/>
          <w:bCs/>
          <w:sz w:val="20"/>
          <w:szCs w:val="20"/>
        </w:rPr>
        <w:t>11</w:t>
      </w:r>
      <w:r w:rsidRPr="00635B6D">
        <w:rPr>
          <w:rFonts w:ascii="Verdana" w:hAnsi="Verdana" w:cs="Arial"/>
          <w:bCs/>
          <w:sz w:val="20"/>
          <w:szCs w:val="20"/>
        </w:rPr>
        <w:t xml:space="preserve"> company meetings in Q</w:t>
      </w:r>
      <w:r>
        <w:rPr>
          <w:rFonts w:ascii="Verdana" w:hAnsi="Verdana" w:cs="Arial"/>
          <w:bCs/>
          <w:sz w:val="20"/>
          <w:szCs w:val="20"/>
        </w:rPr>
        <w:t>1</w:t>
      </w:r>
      <w:r>
        <w:rPr>
          <w:rFonts w:ascii="Verdana" w:hAnsi="Verdana" w:cs="Arial"/>
          <w:bCs/>
          <w:sz w:val="20"/>
          <w:szCs w:val="20"/>
        </w:rPr>
        <w:t xml:space="preserve">. </w:t>
      </w:r>
    </w:p>
    <w:p w:rsidR="008F0047" w:rsidP="009D678E">
      <w:pPr>
        <w:autoSpaceDE w:val="0"/>
        <w:autoSpaceDN w:val="0"/>
        <w:adjustRightInd w:val="0"/>
        <w:spacing w:after="0"/>
        <w:rPr>
          <w:rFonts w:ascii="Verdana" w:hAnsi="Verdana" w:cs="Arial"/>
          <w:bCs/>
          <w:sz w:val="20"/>
          <w:szCs w:val="20"/>
        </w:rPr>
      </w:pPr>
      <w:r>
        <w:rPr>
          <w:rFonts w:ascii="Verdana" w:hAnsi="Verdana" w:cs="Arial"/>
          <w:bCs/>
          <w:sz w:val="20"/>
          <w:szCs w:val="20"/>
        </w:rPr>
        <w:t xml:space="preserve">6 featured at the AGM of </w:t>
      </w:r>
      <w:r w:rsidRPr="00281FE6">
        <w:rPr>
          <w:rFonts w:ascii="Verdana" w:hAnsi="Verdana" w:cs="Arial"/>
          <w:bCs/>
          <w:sz w:val="20"/>
          <w:szCs w:val="20"/>
        </w:rPr>
        <w:t xml:space="preserve">Hyundai </w:t>
      </w:r>
      <w:r w:rsidRPr="00281FE6">
        <w:rPr>
          <w:rFonts w:ascii="Verdana" w:hAnsi="Verdana" w:cs="Arial"/>
          <w:bCs/>
          <w:sz w:val="20"/>
          <w:szCs w:val="20"/>
        </w:rPr>
        <w:t>Mobis</w:t>
      </w:r>
      <w:r w:rsidRPr="00281FE6">
        <w:rPr>
          <w:rFonts w:ascii="Verdana" w:hAnsi="Verdana" w:cs="Arial"/>
          <w:bCs/>
          <w:sz w:val="20"/>
          <w:szCs w:val="20"/>
        </w:rPr>
        <w:t xml:space="preserve"> Co.</w:t>
      </w:r>
      <w:r>
        <w:rPr>
          <w:rFonts w:ascii="Verdana" w:hAnsi="Verdana" w:cs="Arial"/>
          <w:bCs/>
          <w:sz w:val="20"/>
          <w:szCs w:val="20"/>
        </w:rPr>
        <w:t xml:space="preserve"> (South Korean </w:t>
      </w:r>
      <w:r w:rsidRPr="00281FE6">
        <w:rPr>
          <w:rFonts w:ascii="Verdana" w:hAnsi="Verdana" w:cs="Arial" w:hint="eastAsia"/>
          <w:bCs/>
          <w:sz w:val="20"/>
          <w:szCs w:val="20"/>
        </w:rPr>
        <w:t>automotive parts manufacturer</w:t>
      </w:r>
      <w:r>
        <w:rPr>
          <w:rFonts w:ascii="Verdana" w:hAnsi="Verdana" w:cs="Arial"/>
          <w:bCs/>
          <w:sz w:val="20"/>
          <w:szCs w:val="20"/>
        </w:rPr>
        <w:t xml:space="preserve">) and </w:t>
      </w:r>
      <w:r>
        <w:rPr>
          <w:rFonts w:ascii="Verdana" w:hAnsi="Verdana" w:cs="Arial"/>
          <w:bCs/>
          <w:sz w:val="20"/>
          <w:szCs w:val="20"/>
        </w:rPr>
        <w:t xml:space="preserve">included </w:t>
      </w:r>
      <w:r>
        <w:rPr>
          <w:rFonts w:ascii="Verdana" w:hAnsi="Verdana" w:cs="Arial"/>
          <w:bCs/>
          <w:sz w:val="20"/>
          <w:szCs w:val="20"/>
        </w:rPr>
        <w:t>proposals</w:t>
      </w:r>
      <w:r>
        <w:rPr>
          <w:rFonts w:ascii="Verdana" w:hAnsi="Verdana" w:cs="Arial"/>
          <w:bCs/>
          <w:sz w:val="20"/>
          <w:szCs w:val="20"/>
        </w:rPr>
        <w:t xml:space="preserve"> to increase the number of directors, nominate candidates as outside (independent) directors, and nominate candidate</w:t>
      </w:r>
      <w:r>
        <w:rPr>
          <w:rFonts w:ascii="Verdana" w:hAnsi="Verdana" w:cs="Arial"/>
          <w:bCs/>
          <w:sz w:val="20"/>
          <w:szCs w:val="20"/>
        </w:rPr>
        <w:t>s</w:t>
      </w:r>
      <w:r>
        <w:rPr>
          <w:rFonts w:ascii="Verdana" w:hAnsi="Verdana" w:cs="Arial"/>
          <w:bCs/>
          <w:sz w:val="20"/>
          <w:szCs w:val="20"/>
        </w:rPr>
        <w:t xml:space="preserve"> for the Audit Committee). None of the resolutions passed.</w:t>
      </w:r>
    </w:p>
    <w:p w:rsidR="008F0047" w:rsidP="009D678E">
      <w:pPr>
        <w:autoSpaceDE w:val="0"/>
        <w:autoSpaceDN w:val="0"/>
        <w:adjustRightInd w:val="0"/>
        <w:spacing w:after="0"/>
        <w:rPr>
          <w:rFonts w:ascii="Verdana" w:hAnsi="Verdana" w:cs="Arial"/>
          <w:bCs/>
          <w:sz w:val="20"/>
          <w:szCs w:val="20"/>
        </w:rPr>
      </w:pPr>
    </w:p>
    <w:p w:rsidR="00281FE6" w:rsidRPr="008F0047" w:rsidP="009D678E">
      <w:pPr>
        <w:autoSpaceDE w:val="0"/>
        <w:autoSpaceDN w:val="0"/>
        <w:adjustRightInd w:val="0"/>
        <w:spacing w:after="0"/>
        <w:rPr>
          <w:rFonts w:ascii="Verdana" w:hAnsi="Verdana" w:cs="Arial"/>
          <w:bCs/>
          <w:sz w:val="20"/>
          <w:szCs w:val="20"/>
        </w:rPr>
      </w:pPr>
      <w:r>
        <w:rPr>
          <w:rFonts w:ascii="Verdana" w:hAnsi="Verdana" w:cs="Arial"/>
          <w:bCs/>
          <w:sz w:val="20"/>
          <w:szCs w:val="20"/>
        </w:rPr>
        <w:t xml:space="preserve">At CGI Group Inc. (Canadian </w:t>
      </w:r>
      <w:r w:rsidRPr="008F0047">
        <w:rPr>
          <w:rFonts w:ascii="Verdana" w:hAnsi="Verdana" w:cs="Arial"/>
          <w:bCs/>
          <w:sz w:val="20"/>
          <w:szCs w:val="20"/>
        </w:rPr>
        <w:t>IT Consulting &amp; Services) an advisory vote on execu</w:t>
      </w:r>
      <w:r w:rsidRPr="008F0047">
        <w:rPr>
          <w:rFonts w:ascii="Verdana" w:hAnsi="Verdana" w:cs="Arial"/>
          <w:bCs/>
          <w:sz w:val="20"/>
          <w:szCs w:val="20"/>
        </w:rPr>
        <w:t>tive compensation was proposed (</w:t>
      </w:r>
      <w:r>
        <w:rPr>
          <w:rFonts w:ascii="Verdana" w:hAnsi="Verdana" w:cs="Arial"/>
          <w:bCs/>
          <w:sz w:val="20"/>
          <w:szCs w:val="20"/>
        </w:rPr>
        <w:t xml:space="preserve">seeking </w:t>
      </w:r>
      <w:r w:rsidRPr="008F0047">
        <w:rPr>
          <w:rFonts w:ascii="Verdana" w:hAnsi="Verdana" w:cs="Arial"/>
          <w:bCs/>
          <w:sz w:val="20"/>
          <w:szCs w:val="20"/>
        </w:rPr>
        <w:t xml:space="preserve">the opportunity for shareholders to give their opinions on CGI’s executive compensation policy).  The proposal reflected that it is increasingly common practice for company AGMs in Canada to </w:t>
      </w:r>
      <w:r>
        <w:rPr>
          <w:rFonts w:ascii="Verdana" w:hAnsi="Verdana" w:cs="Arial"/>
          <w:bCs/>
          <w:sz w:val="20"/>
          <w:szCs w:val="20"/>
        </w:rPr>
        <w:t>accommodate</w:t>
      </w:r>
      <w:r w:rsidRPr="008F0047">
        <w:rPr>
          <w:rFonts w:ascii="Verdana" w:hAnsi="Verdana" w:cs="Arial"/>
          <w:bCs/>
          <w:sz w:val="20"/>
          <w:szCs w:val="20"/>
        </w:rPr>
        <w:t xml:space="preserve"> </w:t>
      </w:r>
      <w:r>
        <w:rPr>
          <w:rFonts w:ascii="Verdana" w:hAnsi="Verdana" w:cs="Arial"/>
          <w:bCs/>
          <w:sz w:val="20"/>
          <w:szCs w:val="20"/>
        </w:rPr>
        <w:t>a shareholder</w:t>
      </w:r>
      <w:r>
        <w:rPr>
          <w:rFonts w:ascii="Verdana" w:hAnsi="Verdana" w:cs="Arial"/>
          <w:bCs/>
          <w:sz w:val="20"/>
          <w:szCs w:val="20"/>
        </w:rPr>
        <w:t xml:space="preserve"> </w:t>
      </w:r>
      <w:r w:rsidRPr="008F0047">
        <w:rPr>
          <w:rFonts w:ascii="Verdana" w:hAnsi="Verdana" w:cs="Arial"/>
          <w:bCs/>
          <w:sz w:val="20"/>
          <w:szCs w:val="20"/>
        </w:rPr>
        <w:t>“say on pay”</w:t>
      </w:r>
      <w:r>
        <w:rPr>
          <w:rFonts w:ascii="Verdana" w:hAnsi="Verdana" w:cs="Arial"/>
          <w:bCs/>
          <w:sz w:val="20"/>
          <w:szCs w:val="20"/>
        </w:rPr>
        <w:t xml:space="preserve"> </w:t>
      </w:r>
      <w:r w:rsidRPr="008F0047">
        <w:rPr>
          <w:rFonts w:ascii="Verdana" w:hAnsi="Verdana" w:cs="Arial"/>
          <w:bCs/>
          <w:sz w:val="20"/>
          <w:szCs w:val="20"/>
        </w:rPr>
        <w:t>but</w:t>
      </w:r>
      <w:r>
        <w:rPr>
          <w:rFonts w:ascii="Verdana" w:hAnsi="Verdana" w:cs="Arial"/>
          <w:bCs/>
          <w:sz w:val="20"/>
          <w:szCs w:val="20"/>
        </w:rPr>
        <w:t>,</w:t>
      </w:r>
      <w:r w:rsidRPr="008F0047">
        <w:rPr>
          <w:rFonts w:ascii="Verdana" w:hAnsi="Verdana" w:cs="Arial"/>
          <w:bCs/>
          <w:sz w:val="20"/>
          <w:szCs w:val="20"/>
        </w:rPr>
        <w:t xml:space="preserve"> </w:t>
      </w:r>
      <w:r>
        <w:rPr>
          <w:rFonts w:ascii="Verdana" w:hAnsi="Verdana" w:cs="Arial"/>
          <w:bCs/>
          <w:sz w:val="20"/>
          <w:szCs w:val="20"/>
        </w:rPr>
        <w:t>in this case</w:t>
      </w:r>
      <w:r>
        <w:rPr>
          <w:rFonts w:ascii="Verdana" w:hAnsi="Verdana" w:cs="Arial"/>
          <w:bCs/>
          <w:sz w:val="20"/>
          <w:szCs w:val="20"/>
        </w:rPr>
        <w:t>,</w:t>
      </w:r>
      <w:r>
        <w:rPr>
          <w:rFonts w:ascii="Verdana" w:hAnsi="Verdana" w:cs="Arial"/>
          <w:bCs/>
          <w:sz w:val="20"/>
          <w:szCs w:val="20"/>
        </w:rPr>
        <w:t xml:space="preserve"> the resolution </w:t>
      </w:r>
      <w:r w:rsidRPr="008F0047">
        <w:rPr>
          <w:rFonts w:ascii="Verdana" w:hAnsi="Verdana" w:cs="Arial"/>
          <w:bCs/>
          <w:sz w:val="20"/>
          <w:szCs w:val="20"/>
        </w:rPr>
        <w:t>gained only 23</w:t>
      </w:r>
      <w:r>
        <w:rPr>
          <w:rFonts w:ascii="Verdana" w:hAnsi="Verdana" w:cs="Arial"/>
          <w:bCs/>
          <w:sz w:val="20"/>
          <w:szCs w:val="20"/>
        </w:rPr>
        <w:t>% support</w:t>
      </w:r>
      <w:r w:rsidRPr="008F0047">
        <w:rPr>
          <w:rFonts w:ascii="Verdana" w:hAnsi="Verdana" w:cs="Arial"/>
          <w:bCs/>
          <w:sz w:val="20"/>
          <w:szCs w:val="20"/>
        </w:rPr>
        <w:t>.</w:t>
      </w:r>
    </w:p>
    <w:p w:rsidR="008F0047" w:rsidP="009D678E">
      <w:pPr>
        <w:autoSpaceDE w:val="0"/>
        <w:autoSpaceDN w:val="0"/>
        <w:adjustRightInd w:val="0"/>
        <w:spacing w:after="0"/>
        <w:rPr>
          <w:lang w:val="en-US"/>
        </w:rPr>
      </w:pPr>
    </w:p>
    <w:p w:rsidR="00281FE6" w:rsidRPr="008F0047" w:rsidP="009D678E">
      <w:pPr>
        <w:autoSpaceDE w:val="0"/>
        <w:autoSpaceDN w:val="0"/>
        <w:adjustRightInd w:val="0"/>
        <w:spacing w:after="0"/>
        <w:rPr>
          <w:rFonts w:ascii="Verdana" w:hAnsi="Verdana" w:cs="Arial"/>
          <w:bCs/>
          <w:sz w:val="20"/>
          <w:szCs w:val="20"/>
        </w:rPr>
      </w:pPr>
      <w:r w:rsidRPr="008F0047">
        <w:rPr>
          <w:rFonts w:ascii="Verdana" w:hAnsi="Verdana" w:cs="Arial"/>
          <w:bCs/>
          <w:sz w:val="20"/>
          <w:szCs w:val="20"/>
        </w:rPr>
        <w:t xml:space="preserve">At Starbucks </w:t>
      </w:r>
      <w:r w:rsidRPr="008F0047">
        <w:rPr>
          <w:rFonts w:ascii="Verdana" w:hAnsi="Verdana" w:cs="Arial"/>
          <w:bCs/>
          <w:sz w:val="20"/>
          <w:szCs w:val="20"/>
        </w:rPr>
        <w:t>Inc</w:t>
      </w:r>
      <w:r w:rsidRPr="008F0047">
        <w:rPr>
          <w:rFonts w:ascii="Verdana" w:hAnsi="Verdana" w:cs="Arial"/>
          <w:bCs/>
          <w:sz w:val="20"/>
          <w:szCs w:val="20"/>
        </w:rPr>
        <w:t xml:space="preserve"> (USA Restaurants) a </w:t>
      </w:r>
      <w:r>
        <w:rPr>
          <w:rFonts w:ascii="Verdana" w:hAnsi="Verdana" w:cs="Arial"/>
          <w:bCs/>
          <w:sz w:val="20"/>
          <w:szCs w:val="20"/>
        </w:rPr>
        <w:t xml:space="preserve">proposal sought a </w:t>
      </w:r>
      <w:r w:rsidRPr="008F0047">
        <w:rPr>
          <w:rFonts w:ascii="Verdana" w:hAnsi="Verdana" w:cs="Arial"/>
          <w:bCs/>
          <w:sz w:val="20"/>
          <w:szCs w:val="20"/>
        </w:rPr>
        <w:t>comprehensive report on reducing the company’s environmental impacts by stepping up the scale and pace of sustainable packaging</w:t>
      </w:r>
      <w:r w:rsidRPr="008F0047">
        <w:rPr>
          <w:rFonts w:ascii="Verdana" w:hAnsi="Verdana" w:cs="Arial"/>
          <w:bCs/>
          <w:sz w:val="20"/>
          <w:szCs w:val="20"/>
        </w:rPr>
        <w:t xml:space="preserve"> initiatives.  The company responded by outlining initiatives already underway which include its "Next Gen Cup Challenge," a $10 million commitment to develop a compostable, recyclable cup and two other environmental initiatives,</w:t>
      </w:r>
      <w:r>
        <w:rPr>
          <w:rFonts w:ascii="Verdana" w:hAnsi="Verdana" w:cs="Arial"/>
          <w:bCs/>
          <w:sz w:val="20"/>
          <w:szCs w:val="20"/>
        </w:rPr>
        <w:t xml:space="preserve"> </w:t>
      </w:r>
      <w:r w:rsidRPr="008F0047">
        <w:rPr>
          <w:rFonts w:ascii="Verdana" w:hAnsi="Verdana" w:cs="Arial"/>
          <w:bCs/>
          <w:sz w:val="20"/>
          <w:szCs w:val="20"/>
        </w:rPr>
        <w:t>its "</w:t>
      </w:r>
      <w:r w:rsidRPr="008F0047">
        <w:rPr>
          <w:rFonts w:ascii="Verdana" w:hAnsi="Verdana" w:cs="Arial"/>
          <w:bCs/>
          <w:sz w:val="20"/>
          <w:szCs w:val="20"/>
        </w:rPr>
        <w:t>Strawless</w:t>
      </w:r>
      <w:r w:rsidRPr="008F0047">
        <w:rPr>
          <w:rFonts w:ascii="Verdana" w:hAnsi="Verdana" w:cs="Arial"/>
          <w:bCs/>
          <w:sz w:val="20"/>
          <w:szCs w:val="20"/>
        </w:rPr>
        <w:t xml:space="preserve"> Lids" commi</w:t>
      </w:r>
      <w:r w:rsidRPr="008F0047">
        <w:rPr>
          <w:rFonts w:ascii="Verdana" w:hAnsi="Verdana" w:cs="Arial"/>
          <w:bCs/>
          <w:sz w:val="20"/>
          <w:szCs w:val="20"/>
        </w:rPr>
        <w:t xml:space="preserve">tment to eliminate plastic straws globally by 2020 and its "Greener Stores" goal to build 10,000 Greener Stores globally by 2025. The Board argued that given consistent reporting on its environmental performance and goals, and </w:t>
      </w:r>
      <w:r>
        <w:rPr>
          <w:rFonts w:ascii="Verdana" w:hAnsi="Verdana" w:cs="Arial"/>
          <w:bCs/>
          <w:sz w:val="20"/>
          <w:szCs w:val="20"/>
        </w:rPr>
        <w:t xml:space="preserve">reported </w:t>
      </w:r>
      <w:r w:rsidRPr="008F0047">
        <w:rPr>
          <w:rFonts w:ascii="Verdana" w:hAnsi="Verdana" w:cs="Arial"/>
          <w:bCs/>
          <w:sz w:val="20"/>
          <w:szCs w:val="20"/>
        </w:rPr>
        <w:t>intentions to "scale</w:t>
      </w:r>
      <w:r w:rsidRPr="008F0047">
        <w:rPr>
          <w:rFonts w:ascii="Verdana" w:hAnsi="Verdana" w:cs="Arial"/>
          <w:bCs/>
          <w:sz w:val="20"/>
          <w:szCs w:val="20"/>
        </w:rPr>
        <w:t xml:space="preserve"> up its enterprise sustainability efforts," </w:t>
      </w:r>
      <w:r>
        <w:rPr>
          <w:rFonts w:ascii="Verdana" w:hAnsi="Verdana" w:cs="Arial"/>
          <w:bCs/>
          <w:sz w:val="20"/>
          <w:szCs w:val="20"/>
        </w:rPr>
        <w:t>the</w:t>
      </w:r>
      <w:r w:rsidRPr="008F0047">
        <w:rPr>
          <w:rFonts w:ascii="Verdana" w:hAnsi="Verdana" w:cs="Arial"/>
          <w:bCs/>
          <w:sz w:val="20"/>
          <w:szCs w:val="20"/>
        </w:rPr>
        <w:t xml:space="preserve"> additional analysis and reporting would be duplicative and unnecessary. </w:t>
      </w:r>
      <w:r>
        <w:rPr>
          <w:rFonts w:ascii="Verdana" w:hAnsi="Verdana" w:cs="Arial"/>
          <w:bCs/>
          <w:sz w:val="20"/>
          <w:szCs w:val="20"/>
        </w:rPr>
        <w:t>Whilst it did not pass, the resolution r</w:t>
      </w:r>
      <w:r w:rsidRPr="008F0047">
        <w:rPr>
          <w:rFonts w:ascii="Verdana" w:hAnsi="Verdana" w:cs="Arial"/>
          <w:bCs/>
          <w:sz w:val="20"/>
          <w:szCs w:val="20"/>
        </w:rPr>
        <w:t>eceiv</w:t>
      </w:r>
      <w:r>
        <w:rPr>
          <w:rFonts w:ascii="Verdana" w:hAnsi="Verdana" w:cs="Arial"/>
          <w:bCs/>
          <w:sz w:val="20"/>
          <w:szCs w:val="20"/>
        </w:rPr>
        <w:t>ed</w:t>
      </w:r>
      <w:r w:rsidRPr="008F0047">
        <w:rPr>
          <w:rFonts w:ascii="Verdana" w:hAnsi="Verdana" w:cs="Arial"/>
          <w:bCs/>
          <w:sz w:val="20"/>
          <w:szCs w:val="20"/>
        </w:rPr>
        <w:t xml:space="preserve"> 44.5% of votes</w:t>
      </w:r>
      <w:r>
        <w:rPr>
          <w:rFonts w:ascii="Verdana" w:hAnsi="Verdana" w:cs="Arial"/>
          <w:bCs/>
          <w:sz w:val="20"/>
          <w:szCs w:val="20"/>
        </w:rPr>
        <w:t xml:space="preserve">, significantly </w:t>
      </w:r>
      <w:r w:rsidRPr="008F0047">
        <w:rPr>
          <w:rFonts w:ascii="Verdana" w:hAnsi="Verdana" w:cs="Arial"/>
          <w:bCs/>
          <w:sz w:val="20"/>
          <w:szCs w:val="20"/>
        </w:rPr>
        <w:t>closer to achieving a majority</w:t>
      </w:r>
      <w:r>
        <w:rPr>
          <w:rFonts w:ascii="Verdana" w:hAnsi="Verdana" w:cs="Arial"/>
          <w:bCs/>
          <w:sz w:val="20"/>
          <w:szCs w:val="20"/>
        </w:rPr>
        <w:t xml:space="preserve"> than</w:t>
      </w:r>
      <w:r w:rsidRPr="008F0047">
        <w:rPr>
          <w:rFonts w:ascii="Verdana" w:hAnsi="Verdana" w:cs="Arial"/>
          <w:bCs/>
          <w:sz w:val="20"/>
          <w:szCs w:val="20"/>
        </w:rPr>
        <w:t xml:space="preserve"> </w:t>
      </w:r>
      <w:r>
        <w:rPr>
          <w:rFonts w:ascii="Verdana" w:hAnsi="Verdana" w:cs="Arial"/>
          <w:bCs/>
          <w:sz w:val="20"/>
          <w:szCs w:val="20"/>
        </w:rPr>
        <w:t xml:space="preserve">a comparable </w:t>
      </w:r>
      <w:r w:rsidRPr="008F0047">
        <w:rPr>
          <w:rFonts w:ascii="Verdana" w:hAnsi="Verdana" w:cs="Arial"/>
          <w:bCs/>
          <w:sz w:val="20"/>
          <w:szCs w:val="20"/>
        </w:rPr>
        <w:t>resolutio</w:t>
      </w:r>
      <w:r w:rsidRPr="008F0047">
        <w:rPr>
          <w:rFonts w:ascii="Verdana" w:hAnsi="Verdana" w:cs="Arial"/>
          <w:bCs/>
          <w:sz w:val="20"/>
          <w:szCs w:val="20"/>
        </w:rPr>
        <w:t xml:space="preserve">n in 2018 </w:t>
      </w:r>
      <w:r>
        <w:rPr>
          <w:rFonts w:ascii="Verdana" w:hAnsi="Verdana" w:cs="Arial"/>
          <w:bCs/>
          <w:sz w:val="20"/>
          <w:szCs w:val="20"/>
        </w:rPr>
        <w:t xml:space="preserve">which </w:t>
      </w:r>
      <w:r w:rsidRPr="008F0047">
        <w:rPr>
          <w:rFonts w:ascii="Verdana" w:hAnsi="Verdana" w:cs="Arial"/>
          <w:bCs/>
          <w:sz w:val="20"/>
          <w:szCs w:val="20"/>
        </w:rPr>
        <w:t xml:space="preserve">gained 29% support. </w:t>
      </w:r>
    </w:p>
    <w:p w:rsidR="00281FE6" w:rsidP="009D678E">
      <w:pPr>
        <w:autoSpaceDE w:val="0"/>
        <w:autoSpaceDN w:val="0"/>
        <w:adjustRightInd w:val="0"/>
        <w:spacing w:after="0"/>
        <w:rPr>
          <w:rFonts w:ascii="Verdana" w:hAnsi="Verdana" w:cs="Arial"/>
          <w:bCs/>
          <w:sz w:val="20"/>
          <w:szCs w:val="20"/>
        </w:rPr>
      </w:pPr>
    </w:p>
    <w:p w:rsidR="00E970D2" w:rsidRPr="007D6EFE" w:rsidP="008F0047">
      <w:pPr>
        <w:autoSpaceDE w:val="0"/>
        <w:autoSpaceDN w:val="0"/>
        <w:adjustRightInd w:val="0"/>
        <w:spacing w:after="0"/>
        <w:rPr>
          <w:rFonts w:ascii="Verdana" w:hAnsi="Verdana" w:cs="Arial"/>
          <w:bCs/>
          <w:sz w:val="20"/>
          <w:szCs w:val="20"/>
        </w:rPr>
      </w:pPr>
      <w:r>
        <w:rPr>
          <w:rFonts w:ascii="Verdana" w:hAnsi="Verdana" w:cs="Arial"/>
          <w:bCs/>
          <w:sz w:val="20"/>
          <w:szCs w:val="20"/>
        </w:rPr>
        <w:t>At t</w:t>
      </w:r>
      <w:r w:rsidRPr="008F0047">
        <w:rPr>
          <w:rFonts w:ascii="Verdana" w:hAnsi="Verdana" w:cs="Arial"/>
          <w:bCs/>
          <w:sz w:val="20"/>
          <w:szCs w:val="20"/>
        </w:rPr>
        <w:t xml:space="preserve">he </w:t>
      </w:r>
      <w:bookmarkStart w:id="0" w:name="_Hlk10208453"/>
      <w:r w:rsidRPr="008F0047">
        <w:rPr>
          <w:rFonts w:ascii="Verdana" w:hAnsi="Verdana" w:cs="Arial"/>
          <w:bCs/>
          <w:sz w:val="20"/>
          <w:szCs w:val="20"/>
        </w:rPr>
        <w:t>Toronto-Dominion Bank</w:t>
      </w:r>
      <w:r>
        <w:rPr>
          <w:rFonts w:ascii="Verdana" w:hAnsi="Verdana" w:cs="Arial"/>
          <w:bCs/>
          <w:sz w:val="20"/>
          <w:szCs w:val="20"/>
        </w:rPr>
        <w:t xml:space="preserve"> </w:t>
      </w:r>
      <w:bookmarkEnd w:id="0"/>
      <w:r>
        <w:rPr>
          <w:rFonts w:ascii="Verdana" w:hAnsi="Verdana" w:cs="Arial"/>
          <w:bCs/>
          <w:sz w:val="20"/>
          <w:szCs w:val="20"/>
        </w:rPr>
        <w:t xml:space="preserve">AGM (Canadian Diversified Bank) shareholders considered a detailed proposal </w:t>
      </w:r>
      <w:r>
        <w:rPr>
          <w:rFonts w:ascii="Verdana" w:hAnsi="Verdana" w:cs="Arial"/>
          <w:bCs/>
          <w:sz w:val="20"/>
          <w:szCs w:val="20"/>
        </w:rPr>
        <w:t>(</w:t>
      </w:r>
      <w:r>
        <w:rPr>
          <w:rFonts w:ascii="Verdana" w:hAnsi="Verdana" w:cs="Arial"/>
          <w:bCs/>
          <w:sz w:val="20"/>
          <w:szCs w:val="20"/>
        </w:rPr>
        <w:t xml:space="preserve">incorporating </w:t>
      </w:r>
      <w:r>
        <w:rPr>
          <w:rFonts w:ascii="Verdana" w:hAnsi="Verdana" w:cs="Arial"/>
          <w:bCs/>
          <w:sz w:val="20"/>
          <w:szCs w:val="20"/>
        </w:rPr>
        <w:t xml:space="preserve">6 requirements) to restrict </w:t>
      </w:r>
      <w:r>
        <w:rPr>
          <w:rFonts w:ascii="Verdana" w:hAnsi="Verdana" w:cs="Arial"/>
          <w:bCs/>
          <w:sz w:val="20"/>
          <w:szCs w:val="20"/>
        </w:rPr>
        <w:t>the Bank’s financing of existing and future energy projects</w:t>
      </w:r>
      <w:r>
        <w:rPr>
          <w:rFonts w:ascii="Verdana" w:hAnsi="Verdana" w:cs="Arial"/>
          <w:bCs/>
          <w:sz w:val="20"/>
          <w:szCs w:val="20"/>
        </w:rPr>
        <w:t xml:space="preserve"> and other </w:t>
      </w:r>
      <w:r>
        <w:rPr>
          <w:rFonts w:ascii="Verdana" w:hAnsi="Verdana" w:cs="Arial"/>
          <w:bCs/>
          <w:sz w:val="20"/>
          <w:szCs w:val="20"/>
        </w:rPr>
        <w:t>high emitting activities</w:t>
      </w:r>
      <w:r>
        <w:rPr>
          <w:rFonts w:ascii="Verdana" w:hAnsi="Verdana" w:cs="Arial"/>
          <w:bCs/>
          <w:sz w:val="20"/>
          <w:szCs w:val="20"/>
        </w:rPr>
        <w:t xml:space="preserve">. </w:t>
      </w:r>
      <w:r>
        <w:rPr>
          <w:rFonts w:ascii="Verdana" w:hAnsi="Verdana" w:cs="Arial"/>
          <w:bCs/>
          <w:sz w:val="20"/>
          <w:szCs w:val="20"/>
        </w:rPr>
        <w:t>T</w:t>
      </w:r>
      <w:r>
        <w:rPr>
          <w:rFonts w:ascii="Verdana" w:hAnsi="Verdana" w:cs="Arial"/>
          <w:bCs/>
          <w:sz w:val="20"/>
          <w:szCs w:val="20"/>
        </w:rPr>
        <w:t xml:space="preserve">he </w:t>
      </w:r>
      <w:r>
        <w:rPr>
          <w:rFonts w:ascii="Verdana" w:hAnsi="Verdana" w:cs="Arial"/>
          <w:bCs/>
          <w:sz w:val="20"/>
          <w:szCs w:val="20"/>
        </w:rPr>
        <w:t xml:space="preserve">broad </w:t>
      </w:r>
      <w:r>
        <w:rPr>
          <w:rFonts w:ascii="Verdana" w:hAnsi="Verdana" w:cs="Arial"/>
          <w:bCs/>
          <w:sz w:val="20"/>
          <w:szCs w:val="20"/>
        </w:rPr>
        <w:t xml:space="preserve">intentions </w:t>
      </w:r>
      <w:r>
        <w:rPr>
          <w:rFonts w:ascii="Verdana" w:hAnsi="Verdana" w:cs="Arial"/>
          <w:bCs/>
          <w:sz w:val="20"/>
          <w:szCs w:val="20"/>
        </w:rPr>
        <w:t xml:space="preserve">behind the proposal </w:t>
      </w:r>
      <w:r>
        <w:rPr>
          <w:rFonts w:ascii="Verdana" w:hAnsi="Verdana" w:cs="Arial"/>
          <w:bCs/>
          <w:sz w:val="20"/>
          <w:szCs w:val="20"/>
        </w:rPr>
        <w:t>(that bank</w:t>
      </w:r>
      <w:r>
        <w:rPr>
          <w:rFonts w:ascii="Verdana" w:hAnsi="Verdana" w:cs="Arial"/>
          <w:bCs/>
          <w:sz w:val="20"/>
          <w:szCs w:val="20"/>
        </w:rPr>
        <w:t>s</w:t>
      </w:r>
      <w:r>
        <w:rPr>
          <w:rFonts w:ascii="Verdana" w:hAnsi="Verdana" w:cs="Arial"/>
          <w:bCs/>
          <w:sz w:val="20"/>
          <w:szCs w:val="20"/>
        </w:rPr>
        <w:t xml:space="preserve"> should routinely evaluate the risks faced from climate change</w:t>
      </w:r>
      <w:r>
        <w:rPr>
          <w:rFonts w:ascii="Verdana" w:hAnsi="Verdana" w:cs="Arial"/>
          <w:bCs/>
          <w:sz w:val="20"/>
          <w:szCs w:val="20"/>
        </w:rPr>
        <w:t xml:space="preserve"> and its regulation</w:t>
      </w:r>
      <w:r>
        <w:rPr>
          <w:rFonts w:ascii="Verdana" w:hAnsi="Verdana" w:cs="Arial"/>
          <w:bCs/>
          <w:sz w:val="20"/>
          <w:szCs w:val="20"/>
        </w:rPr>
        <w:t xml:space="preserve">, should seek to limit financing for unsustainable projects, and should </w:t>
      </w:r>
      <w:r>
        <w:rPr>
          <w:rFonts w:ascii="Verdana" w:hAnsi="Verdana" w:cs="Arial"/>
          <w:bCs/>
          <w:sz w:val="20"/>
          <w:szCs w:val="20"/>
        </w:rPr>
        <w:t xml:space="preserve">routinely </w:t>
      </w:r>
      <w:r>
        <w:rPr>
          <w:rFonts w:ascii="Verdana" w:hAnsi="Verdana" w:cs="Arial"/>
          <w:bCs/>
          <w:sz w:val="20"/>
          <w:szCs w:val="20"/>
        </w:rPr>
        <w:t xml:space="preserve">report on the risks faced) are </w:t>
      </w:r>
      <w:r>
        <w:rPr>
          <w:rFonts w:ascii="Verdana" w:hAnsi="Verdana" w:cs="Arial"/>
          <w:bCs/>
          <w:sz w:val="20"/>
          <w:szCs w:val="20"/>
        </w:rPr>
        <w:t>laudable</w:t>
      </w:r>
      <w:r>
        <w:rPr>
          <w:rFonts w:ascii="Verdana" w:hAnsi="Verdana" w:cs="Arial"/>
          <w:bCs/>
          <w:sz w:val="20"/>
          <w:szCs w:val="20"/>
        </w:rPr>
        <w:t xml:space="preserve">, </w:t>
      </w:r>
      <w:r>
        <w:rPr>
          <w:rFonts w:ascii="Verdana" w:hAnsi="Verdana" w:cs="Arial"/>
          <w:bCs/>
          <w:sz w:val="20"/>
          <w:szCs w:val="20"/>
        </w:rPr>
        <w:t>but the highly directive and prescriptive nature of the proposal</w:t>
      </w:r>
      <w:r>
        <w:rPr>
          <w:rFonts w:ascii="Verdana" w:hAnsi="Verdana" w:cs="Arial"/>
          <w:bCs/>
          <w:sz w:val="20"/>
          <w:szCs w:val="20"/>
        </w:rPr>
        <w:t xml:space="preserve"> </w:t>
      </w:r>
      <w:r>
        <w:rPr>
          <w:rFonts w:ascii="Verdana" w:hAnsi="Verdana" w:cs="Arial"/>
          <w:bCs/>
          <w:sz w:val="20"/>
          <w:szCs w:val="20"/>
        </w:rPr>
        <w:t xml:space="preserve">counselled against giving support given the </w:t>
      </w:r>
      <w:r w:rsidRPr="008F0047">
        <w:rPr>
          <w:rFonts w:ascii="Verdana" w:hAnsi="Verdana" w:cs="Arial"/>
          <w:bCs/>
          <w:sz w:val="20"/>
          <w:szCs w:val="20"/>
        </w:rPr>
        <w:t>Bank</w:t>
      </w:r>
      <w:r>
        <w:rPr>
          <w:rFonts w:ascii="Verdana" w:hAnsi="Verdana" w:cs="Arial"/>
          <w:bCs/>
          <w:sz w:val="20"/>
          <w:szCs w:val="20"/>
        </w:rPr>
        <w:t>’s existing strong track record of environmental stewardship, alignment with appropriate best practice</w:t>
      </w:r>
      <w:r>
        <w:rPr>
          <w:rFonts w:ascii="Verdana" w:hAnsi="Verdana" w:cs="Arial"/>
          <w:bCs/>
          <w:sz w:val="20"/>
          <w:szCs w:val="20"/>
        </w:rPr>
        <w:t xml:space="preserve"> and commitment to public disclosure</w:t>
      </w:r>
      <w:r>
        <w:rPr>
          <w:rFonts w:ascii="Verdana" w:hAnsi="Verdana" w:cs="Arial"/>
          <w:bCs/>
          <w:sz w:val="20"/>
          <w:szCs w:val="20"/>
        </w:rPr>
        <w:t xml:space="preserve">. </w:t>
      </w:r>
      <w:r w:rsidRPr="008F0047">
        <w:rPr>
          <w:rFonts w:ascii="Verdana" w:hAnsi="Verdana" w:cs="Arial"/>
          <w:bCs/>
          <w:sz w:val="20"/>
          <w:szCs w:val="20"/>
        </w:rPr>
        <w:t>Toronto-Dominion Bank</w:t>
      </w:r>
      <w:r>
        <w:rPr>
          <w:rFonts w:ascii="Verdana" w:hAnsi="Verdana" w:cs="Arial"/>
          <w:bCs/>
          <w:sz w:val="20"/>
          <w:szCs w:val="20"/>
        </w:rPr>
        <w:t xml:space="preserve"> is </w:t>
      </w:r>
      <w:r w:rsidRPr="007D6EFE">
        <w:rPr>
          <w:rFonts w:ascii="Verdana" w:hAnsi="Verdana" w:cs="Arial"/>
          <w:bCs/>
          <w:sz w:val="20"/>
          <w:szCs w:val="20"/>
        </w:rPr>
        <w:t>the only Canadian bank listed on the Dow Jones Sustainability World Index, is</w:t>
      </w:r>
      <w:r w:rsidRPr="007D6EFE">
        <w:rPr>
          <w:rFonts w:ascii="Verdana" w:hAnsi="Verdana" w:cs="Arial"/>
          <w:bCs/>
          <w:sz w:val="20"/>
          <w:szCs w:val="20"/>
        </w:rPr>
        <w:t xml:space="preserve"> a signatory to the Equator Principles (a risk management framework for determining, assessing and managing environm</w:t>
      </w:r>
      <w:r w:rsidRPr="007D6EFE">
        <w:rPr>
          <w:rFonts w:ascii="Verdana" w:hAnsi="Verdana" w:cs="Arial"/>
          <w:bCs/>
          <w:sz w:val="20"/>
          <w:szCs w:val="20"/>
        </w:rPr>
        <w:t>ental and social risk in projects)</w:t>
      </w:r>
      <w:r w:rsidRPr="007D6EFE">
        <w:rPr>
          <w:rFonts w:ascii="Verdana" w:hAnsi="Verdana" w:cs="Arial"/>
          <w:bCs/>
          <w:sz w:val="20"/>
          <w:szCs w:val="20"/>
        </w:rPr>
        <w:t xml:space="preserve"> </w:t>
      </w:r>
      <w:r>
        <w:rPr>
          <w:rFonts w:ascii="Verdana" w:hAnsi="Verdana" w:cs="Arial"/>
          <w:bCs/>
          <w:sz w:val="20"/>
          <w:szCs w:val="20"/>
        </w:rPr>
        <w:t xml:space="preserve">is annually disclosing on its climate change management to CDP </w:t>
      </w:r>
      <w:r w:rsidRPr="007D6EFE">
        <w:rPr>
          <w:rFonts w:ascii="Verdana" w:hAnsi="Verdana" w:cs="Arial"/>
          <w:bCs/>
          <w:sz w:val="20"/>
          <w:szCs w:val="20"/>
        </w:rPr>
        <w:t xml:space="preserve">and </w:t>
      </w:r>
      <w:r>
        <w:rPr>
          <w:rFonts w:ascii="Verdana" w:hAnsi="Verdana" w:cs="Arial"/>
          <w:bCs/>
          <w:sz w:val="20"/>
          <w:szCs w:val="20"/>
        </w:rPr>
        <w:t xml:space="preserve">is </w:t>
      </w:r>
      <w:r w:rsidRPr="007D6EFE">
        <w:rPr>
          <w:rFonts w:ascii="Verdana" w:hAnsi="Verdana" w:cs="Arial"/>
          <w:bCs/>
          <w:sz w:val="20"/>
          <w:szCs w:val="20"/>
        </w:rPr>
        <w:t>reporting publicly against the Taskforce on Climate Related Financial Disclosure (TCFD) framework</w:t>
      </w:r>
      <w:r>
        <w:rPr>
          <w:rFonts w:ascii="Verdana" w:hAnsi="Verdana" w:cs="Arial"/>
          <w:bCs/>
          <w:sz w:val="20"/>
          <w:szCs w:val="20"/>
        </w:rPr>
        <w:t xml:space="preserve">. </w:t>
      </w:r>
    </w:p>
    <w:p w:rsidR="00E970D2" w:rsidP="00DE0A23">
      <w:pPr>
        <w:pStyle w:val="treb"/>
        <w:numPr>
          <w:ilvl w:val="0"/>
          <w:numId w:val="0"/>
        </w:numPr>
        <w:spacing w:after="0"/>
        <w:rPr>
          <w:rFonts w:ascii="Verdana" w:hAnsi="Verdana"/>
          <w:b w:val="0"/>
          <w:sz w:val="20"/>
          <w:szCs w:val="20"/>
        </w:rPr>
      </w:pPr>
    </w:p>
    <w:p w:rsidR="00177D2D" w:rsidRPr="00DE0A23" w:rsidP="00DE0A23">
      <w:pPr>
        <w:pStyle w:val="treb"/>
        <w:numPr>
          <w:ilvl w:val="0"/>
          <w:numId w:val="0"/>
        </w:numPr>
        <w:spacing w:after="0"/>
        <w:rPr>
          <w:rFonts w:ascii="Verdana" w:hAnsi="Verdana"/>
          <w:b w:val="0"/>
          <w:sz w:val="20"/>
          <w:szCs w:val="20"/>
        </w:rPr>
      </w:pPr>
      <w:r w:rsidRPr="003606C9">
        <w:rPr>
          <w:rFonts w:ascii="Verdana" w:hAnsi="Verdana"/>
          <w:b w:val="0"/>
          <w:sz w:val="20"/>
          <w:szCs w:val="20"/>
        </w:rPr>
        <w:t xml:space="preserve">Members </w:t>
      </w:r>
      <w:r w:rsidRPr="003606C9">
        <w:rPr>
          <w:rFonts w:ascii="Verdana" w:hAnsi="Verdana"/>
          <w:b w:val="0"/>
          <w:sz w:val="20"/>
          <w:szCs w:val="20"/>
        </w:rPr>
        <w:t>can</w:t>
      </w:r>
      <w:r w:rsidRPr="003606C9">
        <w:rPr>
          <w:rFonts w:ascii="Verdana" w:hAnsi="Verdana"/>
          <w:b w:val="0"/>
          <w:sz w:val="20"/>
          <w:szCs w:val="20"/>
        </w:rPr>
        <w:t xml:space="preserve"> view details of </w:t>
      </w:r>
      <w:r w:rsidRPr="003606C9">
        <w:rPr>
          <w:rFonts w:ascii="Verdana" w:hAnsi="Verdana"/>
          <w:b w:val="0"/>
          <w:sz w:val="20"/>
          <w:szCs w:val="20"/>
        </w:rPr>
        <w:t xml:space="preserve">shareholder </w:t>
      </w:r>
      <w:r w:rsidRPr="003606C9">
        <w:rPr>
          <w:rFonts w:ascii="Verdana" w:hAnsi="Verdana"/>
          <w:b w:val="0"/>
          <w:sz w:val="20"/>
          <w:szCs w:val="20"/>
        </w:rPr>
        <w:t xml:space="preserve">voting for all meetings via the </w:t>
      </w:r>
      <w:r w:rsidRPr="003606C9">
        <w:rPr>
          <w:rFonts w:ascii="Verdana" w:hAnsi="Verdana"/>
          <w:b w:val="0"/>
          <w:sz w:val="20"/>
          <w:szCs w:val="20"/>
        </w:rPr>
        <w:t xml:space="preserve">LPP </w:t>
      </w:r>
      <w:r w:rsidRPr="003606C9">
        <w:rPr>
          <w:rFonts w:ascii="Verdana" w:hAnsi="Verdana"/>
          <w:b w:val="0"/>
          <w:sz w:val="20"/>
          <w:szCs w:val="20"/>
        </w:rPr>
        <w:t xml:space="preserve">website where quarterly reports for the GEF </w:t>
      </w:r>
      <w:r w:rsidRPr="003606C9">
        <w:rPr>
          <w:rFonts w:ascii="Verdana" w:hAnsi="Verdana"/>
          <w:b w:val="0"/>
          <w:sz w:val="20"/>
          <w:szCs w:val="20"/>
        </w:rPr>
        <w:t>are</w:t>
      </w:r>
      <w:r w:rsidRPr="003606C9">
        <w:rPr>
          <w:rFonts w:ascii="Verdana" w:hAnsi="Verdana"/>
          <w:b w:val="0"/>
          <w:sz w:val="20"/>
          <w:szCs w:val="20"/>
        </w:rPr>
        <w:t xml:space="preserve"> </w:t>
      </w:r>
      <w:r w:rsidRPr="003606C9">
        <w:rPr>
          <w:rFonts w:ascii="Verdana" w:hAnsi="Verdana"/>
          <w:b w:val="0"/>
          <w:sz w:val="20"/>
          <w:szCs w:val="20"/>
        </w:rPr>
        <w:t>made</w:t>
      </w:r>
      <w:r w:rsidRPr="003606C9">
        <w:rPr>
          <w:rFonts w:ascii="Verdana" w:hAnsi="Verdana"/>
          <w:b w:val="0"/>
          <w:sz w:val="20"/>
          <w:szCs w:val="20"/>
        </w:rPr>
        <w:t xml:space="preserve"> </w:t>
      </w:r>
      <w:r w:rsidRPr="003606C9">
        <w:rPr>
          <w:rFonts w:ascii="Verdana" w:hAnsi="Verdana"/>
          <w:b w:val="0"/>
          <w:sz w:val="20"/>
          <w:szCs w:val="20"/>
        </w:rPr>
        <w:t xml:space="preserve">publicly </w:t>
      </w:r>
      <w:r w:rsidRPr="003606C9">
        <w:rPr>
          <w:rFonts w:ascii="Verdana" w:hAnsi="Verdana"/>
          <w:b w:val="0"/>
          <w:sz w:val="20"/>
          <w:szCs w:val="20"/>
        </w:rPr>
        <w:t>availa</w:t>
      </w:r>
      <w:r w:rsidRPr="003606C9">
        <w:rPr>
          <w:rFonts w:ascii="Verdana" w:hAnsi="Verdana"/>
          <w:b w:val="0"/>
          <w:sz w:val="20"/>
          <w:szCs w:val="20"/>
        </w:rPr>
        <w:t>ble</w:t>
      </w:r>
      <w:r w:rsidRPr="003606C9">
        <w:rPr>
          <w:rFonts w:ascii="Verdana" w:hAnsi="Verdana"/>
          <w:b w:val="0"/>
          <w:sz w:val="20"/>
          <w:szCs w:val="20"/>
        </w:rPr>
        <w:t xml:space="preserve">. </w:t>
      </w:r>
    </w:p>
    <w:p w:rsidR="00B7162D" w:rsidRPr="008763F3" w:rsidP="00177D2D">
      <w:pPr>
        <w:spacing w:after="0"/>
        <w:rPr>
          <w:rFonts w:ascii="Verdana" w:hAnsi="Verdana"/>
          <w:snapToGrid w:val="0"/>
          <w:color w:val="0070C0"/>
          <w:sz w:val="20"/>
          <w:szCs w:val="20"/>
        </w:rPr>
      </w:pPr>
      <w:r>
        <w:fldChar w:fldCharType="begin"/>
      </w:r>
      <w:r>
        <w:instrText xml:space="preserve"> HYPERLINK "https://www.localpensionspartnership.org.uk/what-we-do/investment-management" </w:instrText>
      </w:r>
      <w:r>
        <w:fldChar w:fldCharType="separate"/>
      </w:r>
      <w:r w:rsidRPr="008763F3">
        <w:rPr>
          <w:rFonts w:ascii="Verdana" w:hAnsi="Verdana"/>
          <w:snapToGrid w:val="0"/>
          <w:color w:val="0070C0"/>
          <w:sz w:val="20"/>
          <w:szCs w:val="20"/>
        </w:rPr>
        <w:t>https://www.localpensionspartnership.org.uk/what-we-do/i</w:t>
      </w:r>
      <w:r w:rsidRPr="008763F3">
        <w:rPr>
          <w:rFonts w:ascii="Verdana" w:hAnsi="Verdana"/>
          <w:snapToGrid w:val="0"/>
          <w:color w:val="0070C0"/>
          <w:sz w:val="20"/>
          <w:szCs w:val="20"/>
        </w:rPr>
        <w:t>nvestment-management</w:t>
      </w:r>
      <w:r>
        <w:fldChar w:fldCharType="end"/>
      </w:r>
    </w:p>
    <w:p w:rsidR="00177D2D" w:rsidRPr="00F23661" w:rsidP="003B4083">
      <w:pPr>
        <w:pStyle w:val="treb"/>
        <w:numPr>
          <w:ilvl w:val="0"/>
          <w:numId w:val="0"/>
        </w:numPr>
        <w:spacing w:after="0"/>
        <w:rPr>
          <w:rFonts w:ascii="Verdana" w:hAnsi="Verdana"/>
          <w:color w:val="54BBAB" w:themeColor="text2"/>
          <w:sz w:val="20"/>
          <w:szCs w:val="20"/>
        </w:rPr>
      </w:pPr>
    </w:p>
    <w:p w:rsidR="00197BA3" w:rsidRPr="00F23661" w:rsidP="00C857CD">
      <w:pPr>
        <w:pStyle w:val="treb"/>
        <w:numPr>
          <w:ilvl w:val="0"/>
          <w:numId w:val="2"/>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177D2D" w:rsidP="00635E0B">
      <w:pPr>
        <w:autoSpaceDE w:val="0"/>
        <w:autoSpaceDN w:val="0"/>
        <w:adjustRightInd w:val="0"/>
        <w:spacing w:after="0"/>
        <w:rPr>
          <w:rFonts w:ascii="Verdana" w:hAnsi="Verdana" w:cs="Arial"/>
          <w:bCs/>
          <w:sz w:val="20"/>
          <w:szCs w:val="20"/>
        </w:rPr>
      </w:pPr>
      <w:r w:rsidRPr="00177D2D">
        <w:rPr>
          <w:rFonts w:ascii="Verdana" w:hAnsi="Verdana" w:cs="Arial"/>
          <w:bCs/>
          <w:sz w:val="20"/>
          <w:szCs w:val="20"/>
        </w:rPr>
        <w:t xml:space="preserve">LPPI </w:t>
      </w:r>
      <w:r w:rsidRPr="00177D2D">
        <w:rPr>
          <w:rFonts w:ascii="Verdana" w:hAnsi="Verdana" w:cs="Arial"/>
          <w:bCs/>
          <w:sz w:val="20"/>
          <w:szCs w:val="20"/>
        </w:rPr>
        <w:t xml:space="preserve">regularly </w:t>
      </w:r>
      <w:r w:rsidRPr="00177D2D">
        <w:rPr>
          <w:rFonts w:ascii="Verdana" w:hAnsi="Verdana" w:cs="Arial"/>
          <w:bCs/>
          <w:sz w:val="20"/>
          <w:szCs w:val="20"/>
        </w:rPr>
        <w:t>participate</w:t>
      </w:r>
      <w:r w:rsidRPr="00177D2D">
        <w:rPr>
          <w:rFonts w:ascii="Verdana" w:hAnsi="Verdana" w:cs="Arial"/>
          <w:bCs/>
          <w:sz w:val="20"/>
          <w:szCs w:val="20"/>
        </w:rPr>
        <w:t>s</w:t>
      </w:r>
      <w:r w:rsidRPr="00177D2D">
        <w:rPr>
          <w:rFonts w:ascii="Verdana" w:hAnsi="Verdana" w:cs="Arial"/>
          <w:bCs/>
          <w:sz w:val="20"/>
          <w:szCs w:val="20"/>
        </w:rPr>
        <w:t xml:space="preserve"> </w:t>
      </w:r>
      <w:r w:rsidRPr="00177D2D">
        <w:rPr>
          <w:rFonts w:ascii="Verdana" w:hAnsi="Verdana" w:cs="Arial"/>
          <w:bCs/>
          <w:sz w:val="20"/>
          <w:szCs w:val="20"/>
        </w:rPr>
        <w:t xml:space="preserve">in collaborations </w:t>
      </w:r>
      <w:r w:rsidRPr="00177D2D">
        <w:rPr>
          <w:rFonts w:ascii="Verdana" w:hAnsi="Verdana" w:cs="Arial"/>
          <w:bCs/>
          <w:sz w:val="20"/>
          <w:szCs w:val="20"/>
        </w:rPr>
        <w:t xml:space="preserve">which </w:t>
      </w:r>
      <w:r w:rsidRPr="00177D2D">
        <w:rPr>
          <w:rFonts w:ascii="Verdana" w:hAnsi="Verdana" w:cs="Arial"/>
          <w:bCs/>
          <w:sz w:val="20"/>
          <w:szCs w:val="20"/>
        </w:rPr>
        <w:t xml:space="preserve">aim to </w:t>
      </w:r>
      <w:r w:rsidRPr="00177D2D">
        <w:rPr>
          <w:rFonts w:ascii="Verdana" w:hAnsi="Verdana" w:cs="Arial"/>
          <w:bCs/>
          <w:sz w:val="20"/>
          <w:szCs w:val="20"/>
        </w:rPr>
        <w:t xml:space="preserve">make progress on </w:t>
      </w:r>
      <w:r w:rsidRPr="00177D2D">
        <w:rPr>
          <w:rFonts w:ascii="Verdana" w:hAnsi="Verdana" w:cs="Arial"/>
          <w:bCs/>
          <w:sz w:val="20"/>
          <w:szCs w:val="20"/>
        </w:rPr>
        <w:t xml:space="preserve">commonly held </w:t>
      </w:r>
      <w:r w:rsidRPr="00177D2D">
        <w:rPr>
          <w:rFonts w:ascii="Verdana" w:hAnsi="Verdana" w:cs="Arial"/>
          <w:bCs/>
          <w:sz w:val="20"/>
          <w:szCs w:val="20"/>
        </w:rPr>
        <w:t xml:space="preserve">issues </w:t>
      </w:r>
      <w:r w:rsidRPr="00177D2D">
        <w:rPr>
          <w:rFonts w:ascii="Verdana" w:hAnsi="Verdana" w:cs="Arial"/>
          <w:bCs/>
          <w:sz w:val="20"/>
          <w:szCs w:val="20"/>
        </w:rPr>
        <w:t>by co-ordinating the</w:t>
      </w:r>
      <w:r w:rsidRPr="00177D2D">
        <w:rPr>
          <w:rFonts w:ascii="Verdana" w:hAnsi="Verdana" w:cs="Arial"/>
          <w:bCs/>
          <w:sz w:val="20"/>
          <w:szCs w:val="20"/>
        </w:rPr>
        <w:t xml:space="preserve"> </w:t>
      </w:r>
      <w:r w:rsidRPr="00177D2D">
        <w:rPr>
          <w:rFonts w:ascii="Verdana" w:hAnsi="Verdana" w:cs="Arial"/>
          <w:bCs/>
          <w:sz w:val="20"/>
          <w:szCs w:val="20"/>
        </w:rPr>
        <w:t xml:space="preserve">efforts </w:t>
      </w:r>
      <w:r w:rsidRPr="00177D2D">
        <w:rPr>
          <w:rFonts w:ascii="Verdana" w:hAnsi="Verdana" w:cs="Arial"/>
          <w:bCs/>
          <w:sz w:val="20"/>
          <w:szCs w:val="20"/>
        </w:rPr>
        <w:t xml:space="preserve">of </w:t>
      </w:r>
      <w:r w:rsidRPr="00177D2D">
        <w:rPr>
          <w:rFonts w:ascii="Verdana" w:hAnsi="Verdana" w:cs="Arial"/>
          <w:bCs/>
          <w:sz w:val="20"/>
          <w:szCs w:val="20"/>
        </w:rPr>
        <w:t xml:space="preserve">multiple </w:t>
      </w:r>
      <w:r w:rsidRPr="00177D2D">
        <w:rPr>
          <w:rFonts w:ascii="Verdana" w:hAnsi="Verdana" w:cs="Arial"/>
          <w:bCs/>
          <w:sz w:val="20"/>
          <w:szCs w:val="20"/>
        </w:rPr>
        <w:t>investors</w:t>
      </w:r>
      <w:r w:rsidRPr="00177D2D">
        <w:rPr>
          <w:rFonts w:ascii="Verdana" w:hAnsi="Verdana" w:cs="Arial"/>
          <w:bCs/>
          <w:sz w:val="20"/>
          <w:szCs w:val="20"/>
        </w:rPr>
        <w:t xml:space="preserve">. </w:t>
      </w:r>
      <w:r w:rsidRPr="00177D2D">
        <w:rPr>
          <w:rFonts w:ascii="Verdana" w:hAnsi="Verdana" w:cs="Arial"/>
          <w:bCs/>
          <w:sz w:val="20"/>
          <w:szCs w:val="20"/>
        </w:rPr>
        <w:t xml:space="preserve">Key </w:t>
      </w:r>
      <w:r w:rsidRPr="00177D2D">
        <w:rPr>
          <w:rFonts w:ascii="Verdana" w:hAnsi="Verdana" w:cs="Arial"/>
          <w:bCs/>
          <w:sz w:val="20"/>
          <w:szCs w:val="20"/>
        </w:rPr>
        <w:t>partner</w:t>
      </w:r>
      <w:r w:rsidRPr="00177D2D">
        <w:rPr>
          <w:rFonts w:ascii="Verdana" w:hAnsi="Verdana" w:cs="Arial"/>
          <w:bCs/>
          <w:sz w:val="20"/>
          <w:szCs w:val="20"/>
        </w:rPr>
        <w:t xml:space="preserve">s include the Local Authority Pension </w:t>
      </w:r>
      <w:r w:rsidRPr="00177D2D">
        <w:rPr>
          <w:rFonts w:ascii="Verdana" w:hAnsi="Verdana" w:cs="Arial"/>
          <w:bCs/>
          <w:sz w:val="20"/>
          <w:szCs w:val="20"/>
        </w:rPr>
        <w:t>Fund Forum (LAPFF) the Pensions and Lifetime Savings Association (PLSA) the Principles of Responsible Investment (PRI) the Institutional Investor Group on Climate Change (IIGCC)</w:t>
      </w:r>
      <w:r w:rsidRPr="00177D2D">
        <w:rPr>
          <w:rFonts w:ascii="Verdana" w:hAnsi="Verdana" w:cs="Arial"/>
          <w:bCs/>
          <w:sz w:val="20"/>
          <w:szCs w:val="20"/>
        </w:rPr>
        <w:t xml:space="preserve"> the LGPS Cross Pool RI Group,</w:t>
      </w:r>
      <w:r w:rsidRPr="00177D2D">
        <w:rPr>
          <w:rFonts w:ascii="Verdana" w:hAnsi="Verdana" w:cs="Arial"/>
          <w:bCs/>
          <w:sz w:val="20"/>
          <w:szCs w:val="20"/>
        </w:rPr>
        <w:t xml:space="preserve"> and the UK Pension </w:t>
      </w:r>
      <w:r w:rsidRPr="00177D2D">
        <w:rPr>
          <w:rFonts w:ascii="Verdana" w:hAnsi="Verdana" w:cs="Arial"/>
          <w:bCs/>
          <w:sz w:val="20"/>
          <w:szCs w:val="20"/>
        </w:rPr>
        <w:t>Scheme</w:t>
      </w:r>
      <w:r w:rsidRPr="00177D2D">
        <w:rPr>
          <w:rFonts w:ascii="Verdana" w:hAnsi="Verdana" w:cs="Arial"/>
          <w:bCs/>
          <w:sz w:val="20"/>
          <w:szCs w:val="20"/>
        </w:rPr>
        <w:t xml:space="preserve"> RI Roundtable</w:t>
      </w:r>
      <w:r w:rsidRPr="00177D2D">
        <w:rPr>
          <w:rFonts w:ascii="Verdana" w:hAnsi="Verdana" w:cs="Arial"/>
          <w:bCs/>
          <w:sz w:val="20"/>
          <w:szCs w:val="20"/>
        </w:rPr>
        <w:t>.</w:t>
      </w:r>
    </w:p>
    <w:p w:rsidR="008A00BF" w:rsidP="00635E0B">
      <w:pPr>
        <w:autoSpaceDE w:val="0"/>
        <w:autoSpaceDN w:val="0"/>
        <w:adjustRightInd w:val="0"/>
        <w:spacing w:after="0"/>
        <w:rPr>
          <w:rFonts w:ascii="Verdana" w:hAnsi="Verdana" w:cs="Arial"/>
          <w:bCs/>
          <w:color w:val="183850" w:themeColor="text1"/>
          <w:sz w:val="20"/>
          <w:szCs w:val="20"/>
        </w:rPr>
      </w:pPr>
    </w:p>
    <w:p w:rsidR="00705972" w:rsidRPr="00177D2D" w:rsidP="00635E0B">
      <w:pPr>
        <w:autoSpaceDE w:val="0"/>
        <w:autoSpaceDN w:val="0"/>
        <w:adjustRightInd w:val="0"/>
        <w:spacing w:after="0"/>
        <w:rPr>
          <w:rFonts w:ascii="Verdana" w:hAnsi="Verdana" w:cs="Arial"/>
          <w:b/>
          <w:bCs/>
          <w:color w:val="0C1B27" w:themeColor="text1" w:themeShade="80"/>
          <w:sz w:val="20"/>
          <w:szCs w:val="20"/>
        </w:rPr>
      </w:pPr>
      <w:r w:rsidRPr="00177D2D">
        <w:rPr>
          <w:rFonts w:ascii="Verdana" w:hAnsi="Verdana" w:cs="Arial"/>
          <w:b/>
          <w:bCs/>
          <w:color w:val="0C1B27" w:themeColor="text1" w:themeShade="80"/>
          <w:sz w:val="20"/>
          <w:szCs w:val="20"/>
        </w:rPr>
        <w:t>LAPFF</w:t>
      </w:r>
    </w:p>
    <w:p w:rsidR="007A6D0C" w:rsidP="00635E0B">
      <w:pPr>
        <w:autoSpaceDE w:val="0"/>
        <w:autoSpaceDN w:val="0"/>
        <w:adjustRightInd w:val="0"/>
        <w:spacing w:after="0"/>
        <w:rPr>
          <w:rFonts w:ascii="Verdana" w:hAnsi="Verdana" w:cs="Arial"/>
          <w:bCs/>
          <w:color w:val="183850" w:themeColor="text1"/>
          <w:sz w:val="20"/>
          <w:szCs w:val="20"/>
        </w:rPr>
      </w:pPr>
    </w:p>
    <w:p w:rsidR="00C857CD" w:rsidRPr="00C857CD" w:rsidP="00C857CD">
      <w:pPr>
        <w:spacing w:after="0"/>
        <w:rPr>
          <w:rFonts w:ascii="Verdana" w:hAnsi="Verdana"/>
          <w:sz w:val="20"/>
          <w:szCs w:val="20"/>
        </w:rPr>
      </w:pPr>
      <w:r w:rsidRPr="00177D2D">
        <w:rPr>
          <w:rFonts w:ascii="Verdana" w:hAnsi="Verdana"/>
          <w:snapToGrid w:val="0"/>
          <w:color w:val="0C1B27" w:themeColor="text1" w:themeShade="80"/>
          <w:sz w:val="20"/>
          <w:szCs w:val="20"/>
        </w:rPr>
        <w:t xml:space="preserve">LAPFF </w:t>
      </w:r>
      <w:r w:rsidRPr="00177D2D">
        <w:rPr>
          <w:rFonts w:ascii="Verdana" w:hAnsi="Verdana"/>
          <w:snapToGrid w:val="0"/>
          <w:color w:val="0C1B27" w:themeColor="text1" w:themeShade="80"/>
          <w:sz w:val="20"/>
          <w:szCs w:val="20"/>
        </w:rPr>
        <w:t xml:space="preserve">has </w:t>
      </w:r>
      <w:r w:rsidRPr="00177D2D">
        <w:rPr>
          <w:rFonts w:ascii="Verdana" w:hAnsi="Verdana"/>
          <w:snapToGrid w:val="0"/>
          <w:color w:val="0C1B27" w:themeColor="text1" w:themeShade="80"/>
          <w:sz w:val="20"/>
          <w:szCs w:val="20"/>
        </w:rPr>
        <w:t>long</w:t>
      </w:r>
      <w:r w:rsidRPr="00177D2D">
        <w:rPr>
          <w:rFonts w:ascii="Verdana" w:hAnsi="Verdana"/>
          <w:snapToGrid w:val="0"/>
          <w:color w:val="0C1B27" w:themeColor="text1" w:themeShade="80"/>
          <w:sz w:val="20"/>
          <w:szCs w:val="20"/>
        </w:rPr>
        <w:t xml:space="preserve"> been</w:t>
      </w:r>
      <w:r w:rsidRPr="00177D2D">
        <w:rPr>
          <w:rFonts w:ascii="Verdana" w:hAnsi="Verdana"/>
          <w:snapToGrid w:val="0"/>
          <w:color w:val="0C1B27" w:themeColor="text1" w:themeShade="80"/>
          <w:sz w:val="20"/>
          <w:szCs w:val="20"/>
        </w:rPr>
        <w:t xml:space="preserve"> </w:t>
      </w:r>
      <w:r w:rsidRPr="00177D2D">
        <w:rPr>
          <w:rFonts w:ascii="Verdana" w:hAnsi="Verdana"/>
          <w:snapToGrid w:val="0"/>
          <w:color w:val="0C1B27" w:themeColor="text1" w:themeShade="80"/>
          <w:sz w:val="20"/>
          <w:szCs w:val="20"/>
        </w:rPr>
        <w:t>LCPF</w:t>
      </w:r>
      <w:r w:rsidRPr="00177D2D">
        <w:rPr>
          <w:rFonts w:ascii="Verdana" w:hAnsi="Verdana"/>
          <w:snapToGrid w:val="0"/>
          <w:color w:val="0C1B27" w:themeColor="text1" w:themeShade="80"/>
          <w:sz w:val="20"/>
          <w:szCs w:val="20"/>
        </w:rPr>
        <w:t>'s preferred engagement partne</w:t>
      </w:r>
      <w:r w:rsidRPr="00177D2D">
        <w:rPr>
          <w:rFonts w:ascii="Verdana" w:hAnsi="Verdana"/>
          <w:snapToGrid w:val="0"/>
          <w:color w:val="0C1B27" w:themeColor="text1" w:themeShade="80"/>
          <w:sz w:val="20"/>
          <w:szCs w:val="20"/>
        </w:rPr>
        <w:t>r</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The Fund </w:t>
      </w:r>
      <w:r>
        <w:rPr>
          <w:rFonts w:ascii="Verdana" w:hAnsi="Verdana"/>
          <w:snapToGrid w:val="0"/>
          <w:color w:val="0C1B27" w:themeColor="text1" w:themeShade="80"/>
          <w:sz w:val="20"/>
          <w:szCs w:val="20"/>
        </w:rPr>
        <w:t>i</w:t>
      </w:r>
      <w:r>
        <w:rPr>
          <w:rFonts w:ascii="Verdana" w:hAnsi="Verdana"/>
          <w:snapToGrid w:val="0"/>
          <w:color w:val="0C1B27" w:themeColor="text1" w:themeShade="80"/>
          <w:sz w:val="20"/>
          <w:szCs w:val="20"/>
        </w:rPr>
        <w:t>s a long-</w:t>
      </w:r>
      <w:r>
        <w:rPr>
          <w:rFonts w:ascii="Verdana" w:hAnsi="Verdana"/>
          <w:snapToGrid w:val="0"/>
          <w:color w:val="0C1B27" w:themeColor="text1" w:themeShade="80"/>
          <w:sz w:val="20"/>
          <w:szCs w:val="20"/>
        </w:rPr>
        <w:t>standing</w:t>
      </w:r>
      <w:r>
        <w:rPr>
          <w:rFonts w:ascii="Verdana" w:hAnsi="Verdana"/>
          <w:snapToGrid w:val="0"/>
          <w:color w:val="0C1B27" w:themeColor="text1" w:themeShade="80"/>
          <w:sz w:val="20"/>
          <w:szCs w:val="20"/>
        </w:rPr>
        <w:t xml:space="preserve"> member of the Forum and the Head of Fund and Chair of the Pension Fund Committee both currently sit on the LAPFF Executive.</w:t>
      </w:r>
    </w:p>
    <w:p w:rsidR="002D57C7" w:rsidP="00177D2D">
      <w:pPr>
        <w:contextualSpacing/>
        <w:rPr>
          <w:rFonts w:ascii="Verdana" w:hAnsi="Verdana"/>
          <w:sz w:val="20"/>
          <w:szCs w:val="20"/>
        </w:rPr>
      </w:pPr>
    </w:p>
    <w:p w:rsidR="00C857CD" w:rsidP="00177D2D">
      <w:pPr>
        <w:contextualSpacing/>
        <w:rPr>
          <w:rFonts w:ascii="Verdana" w:hAnsi="Verdana"/>
          <w:sz w:val="20"/>
          <w:szCs w:val="20"/>
        </w:rPr>
      </w:pPr>
      <w:r w:rsidRPr="00503EE0">
        <w:rPr>
          <w:rFonts w:ascii="Verdana" w:hAnsi="Verdana"/>
          <w:sz w:val="20"/>
          <w:szCs w:val="20"/>
        </w:rPr>
        <w:t>LAPFF</w:t>
      </w:r>
      <w:r w:rsidRPr="00503EE0">
        <w:rPr>
          <w:rFonts w:ascii="Verdana" w:hAnsi="Verdana"/>
          <w:sz w:val="20"/>
          <w:szCs w:val="20"/>
        </w:rPr>
        <w:t>’s</w:t>
      </w:r>
      <w:r w:rsidRPr="00503EE0">
        <w:rPr>
          <w:rFonts w:ascii="Verdana" w:hAnsi="Verdana"/>
          <w:sz w:val="20"/>
          <w:szCs w:val="20"/>
        </w:rPr>
        <w:t xml:space="preserve"> engagement programme reflects </w:t>
      </w:r>
      <w:r>
        <w:rPr>
          <w:rFonts w:ascii="Verdana" w:hAnsi="Verdana"/>
          <w:sz w:val="20"/>
          <w:szCs w:val="20"/>
        </w:rPr>
        <w:t>annual</w:t>
      </w:r>
      <w:r w:rsidRPr="00503EE0">
        <w:rPr>
          <w:rFonts w:ascii="Verdana" w:hAnsi="Verdana"/>
          <w:sz w:val="20"/>
          <w:szCs w:val="20"/>
        </w:rPr>
        <w:t xml:space="preserve"> </w:t>
      </w:r>
      <w:r w:rsidRPr="00503EE0">
        <w:rPr>
          <w:rFonts w:ascii="Verdana" w:hAnsi="Verdana"/>
          <w:sz w:val="20"/>
          <w:szCs w:val="20"/>
        </w:rPr>
        <w:t xml:space="preserve">assessment of key priorities arising from across the collective equity holdings of LAPFF members. The </w:t>
      </w:r>
      <w:r w:rsidRPr="00503EE0">
        <w:rPr>
          <w:rFonts w:ascii="Verdana" w:hAnsi="Verdana"/>
          <w:sz w:val="20"/>
          <w:szCs w:val="20"/>
        </w:rPr>
        <w:t>Workplan</w:t>
      </w:r>
      <w:r w:rsidRPr="00503EE0">
        <w:rPr>
          <w:rFonts w:ascii="Verdana" w:hAnsi="Verdana"/>
          <w:sz w:val="20"/>
          <w:szCs w:val="20"/>
        </w:rPr>
        <w:t xml:space="preserve"> for 2019 </w:t>
      </w:r>
      <w:r w:rsidRPr="00503EE0">
        <w:rPr>
          <w:rFonts w:ascii="Verdana" w:hAnsi="Verdana"/>
          <w:sz w:val="20"/>
          <w:szCs w:val="20"/>
        </w:rPr>
        <w:t>was</w:t>
      </w:r>
      <w:r w:rsidRPr="00503EE0">
        <w:rPr>
          <w:rFonts w:ascii="Verdana" w:hAnsi="Verdana"/>
          <w:sz w:val="20"/>
          <w:szCs w:val="20"/>
        </w:rPr>
        <w:t xml:space="preserve"> </w:t>
      </w:r>
      <w:r>
        <w:rPr>
          <w:rFonts w:ascii="Verdana" w:hAnsi="Verdana"/>
          <w:sz w:val="20"/>
          <w:szCs w:val="20"/>
        </w:rPr>
        <w:t xml:space="preserve">considered and </w:t>
      </w:r>
      <w:r w:rsidRPr="00503EE0">
        <w:rPr>
          <w:rFonts w:ascii="Verdana" w:hAnsi="Verdana"/>
          <w:sz w:val="20"/>
          <w:szCs w:val="20"/>
        </w:rPr>
        <w:t xml:space="preserve">agreed by members at the </w:t>
      </w:r>
      <w:r w:rsidRPr="00503EE0">
        <w:rPr>
          <w:rFonts w:ascii="Verdana" w:hAnsi="Verdana"/>
          <w:sz w:val="20"/>
          <w:szCs w:val="20"/>
        </w:rPr>
        <w:t>last</w:t>
      </w:r>
      <w:r w:rsidRPr="00503EE0">
        <w:rPr>
          <w:rFonts w:ascii="Verdana" w:hAnsi="Verdana"/>
          <w:sz w:val="20"/>
          <w:szCs w:val="20"/>
        </w:rPr>
        <w:t xml:space="preserve"> LAPFF Business Meeting (17 April 2019) </w:t>
      </w:r>
      <w:r w:rsidRPr="00503EE0">
        <w:rPr>
          <w:rFonts w:ascii="Verdana" w:hAnsi="Verdana"/>
          <w:sz w:val="20"/>
          <w:szCs w:val="20"/>
        </w:rPr>
        <w:t xml:space="preserve">following </w:t>
      </w:r>
      <w:r w:rsidRPr="00503EE0">
        <w:rPr>
          <w:rFonts w:ascii="Verdana" w:hAnsi="Verdana"/>
          <w:sz w:val="20"/>
          <w:szCs w:val="20"/>
        </w:rPr>
        <w:t>feedback received from funds as part o</w:t>
      </w:r>
      <w:r w:rsidRPr="00503EE0">
        <w:rPr>
          <w:rFonts w:ascii="Verdana" w:hAnsi="Verdana"/>
          <w:sz w:val="20"/>
          <w:szCs w:val="20"/>
        </w:rPr>
        <w:t>f a</w:t>
      </w:r>
      <w:r w:rsidRPr="00503EE0">
        <w:rPr>
          <w:rFonts w:ascii="Verdana" w:hAnsi="Verdana"/>
          <w:sz w:val="20"/>
          <w:szCs w:val="20"/>
        </w:rPr>
        <w:t>n annual</w:t>
      </w:r>
      <w:r w:rsidRPr="00503EE0">
        <w:rPr>
          <w:rFonts w:ascii="Verdana" w:hAnsi="Verdana"/>
          <w:sz w:val="20"/>
          <w:szCs w:val="20"/>
        </w:rPr>
        <w:t xml:space="preserve"> consultation process.</w:t>
      </w:r>
    </w:p>
    <w:p w:rsidR="00C857CD" w:rsidP="00177D2D">
      <w:pPr>
        <w:contextualSpacing/>
        <w:rPr>
          <w:rFonts w:ascii="Verdana" w:hAnsi="Verdana"/>
          <w:sz w:val="20"/>
          <w:szCs w:val="20"/>
        </w:rPr>
      </w:pPr>
    </w:p>
    <w:p w:rsidR="00E07BBF" w:rsidRPr="00EE50FE" w:rsidP="00177D2D">
      <w:pPr>
        <w:contextualSpacing/>
        <w:rPr>
          <w:rFonts w:ascii="Verdana" w:hAnsi="Verdana"/>
          <w:color w:val="0070C0"/>
          <w:sz w:val="20"/>
          <w:szCs w:val="20"/>
        </w:rPr>
      </w:pPr>
      <w:r w:rsidRPr="00177D2D">
        <w:rPr>
          <w:rFonts w:ascii="Verdana" w:hAnsi="Verdana"/>
          <w:sz w:val="20"/>
          <w:szCs w:val="20"/>
        </w:rPr>
        <w:t>On a quarterly basis LAPFF provide</w:t>
      </w:r>
      <w:r w:rsidRPr="00177D2D">
        <w:rPr>
          <w:rFonts w:ascii="Verdana" w:hAnsi="Verdana"/>
          <w:sz w:val="20"/>
          <w:szCs w:val="20"/>
        </w:rPr>
        <w:t xml:space="preserve"> </w:t>
      </w:r>
      <w:r w:rsidRPr="00177D2D">
        <w:rPr>
          <w:rFonts w:ascii="Verdana" w:hAnsi="Verdana"/>
          <w:sz w:val="20"/>
          <w:szCs w:val="20"/>
        </w:rPr>
        <w:t>a summary of the engagement activities undertaken on behalf</w:t>
      </w:r>
      <w:r w:rsidRPr="00177D2D">
        <w:rPr>
          <w:rFonts w:ascii="Verdana" w:hAnsi="Verdana"/>
          <w:sz w:val="20"/>
          <w:szCs w:val="20"/>
        </w:rPr>
        <w:t xml:space="preserve"> </w:t>
      </w:r>
      <w:r w:rsidRPr="00177D2D">
        <w:rPr>
          <w:rFonts w:ascii="Verdana" w:hAnsi="Verdana"/>
          <w:sz w:val="20"/>
          <w:szCs w:val="20"/>
        </w:rPr>
        <w:t xml:space="preserve">of member funds </w:t>
      </w:r>
      <w:r w:rsidRPr="00177D2D">
        <w:rPr>
          <w:rFonts w:ascii="Verdana" w:hAnsi="Verdana"/>
          <w:sz w:val="20"/>
          <w:szCs w:val="20"/>
        </w:rPr>
        <w:t>which is available from the LAPFF website</w:t>
      </w:r>
      <w:r w:rsidRPr="00177D2D">
        <w:rPr>
          <w:rFonts w:ascii="Verdana" w:hAnsi="Verdana"/>
          <w:sz w:val="20"/>
          <w:szCs w:val="20"/>
        </w:rPr>
        <w:t xml:space="preserve">. </w:t>
      </w:r>
      <w:r>
        <w:fldChar w:fldCharType="begin"/>
      </w:r>
      <w:r>
        <w:instrText xml:space="preserve"> HYPERLINK "http://www.lapfforum.org/publications/qrtly-engagement-reports/" </w:instrText>
      </w:r>
      <w:r>
        <w:fldChar w:fldCharType="separate"/>
      </w:r>
      <w:r w:rsidRPr="00EE50FE">
        <w:rPr>
          <w:color w:val="0070C0"/>
        </w:rPr>
        <w:t>http://www.lapfforum.org/publications/qrtly-engagement-reports/</w:t>
      </w:r>
      <w:r>
        <w:fldChar w:fldCharType="end"/>
      </w:r>
    </w:p>
    <w:p w:rsidR="00177D2D" w:rsidP="00177D2D">
      <w:pPr>
        <w:contextualSpacing/>
        <w:rPr>
          <w:rFonts w:ascii="Verdana" w:hAnsi="Verdana"/>
          <w:sz w:val="20"/>
          <w:szCs w:val="20"/>
        </w:rPr>
      </w:pPr>
    </w:p>
    <w:p w:rsidR="00177D2D" w:rsidP="00924DDC">
      <w:pPr>
        <w:contextualSpacing/>
        <w:rPr>
          <w:rFonts w:ascii="Verdana" w:hAnsi="Verdana" w:cs="Arial"/>
          <w:bCs/>
          <w:color w:val="183850" w:themeColor="text1"/>
          <w:sz w:val="20"/>
          <w:szCs w:val="20"/>
        </w:rPr>
      </w:pPr>
      <w:r w:rsidRPr="00177D2D">
        <w:rPr>
          <w:rFonts w:ascii="Verdana" w:hAnsi="Verdana"/>
          <w:sz w:val="20"/>
          <w:szCs w:val="20"/>
        </w:rPr>
        <w:t xml:space="preserve">Quantified across thematic topics, engagement activity by LAPFF </w:t>
      </w:r>
      <w:r w:rsidRPr="00177D2D">
        <w:rPr>
          <w:rFonts w:ascii="Verdana" w:hAnsi="Verdana"/>
          <w:sz w:val="20"/>
          <w:szCs w:val="20"/>
        </w:rPr>
        <w:t xml:space="preserve">in </w:t>
      </w:r>
      <w:r>
        <w:rPr>
          <w:rFonts w:ascii="Verdana" w:hAnsi="Verdana"/>
          <w:sz w:val="20"/>
          <w:szCs w:val="20"/>
        </w:rPr>
        <w:t xml:space="preserve">2019 </w:t>
      </w:r>
      <w:r w:rsidRPr="00177D2D">
        <w:rPr>
          <w:rFonts w:ascii="Verdana" w:hAnsi="Verdana"/>
          <w:sz w:val="20"/>
          <w:szCs w:val="20"/>
        </w:rPr>
        <w:t>Q</w:t>
      </w:r>
      <w:r>
        <w:rPr>
          <w:rFonts w:ascii="Verdana" w:hAnsi="Verdana"/>
          <w:sz w:val="20"/>
          <w:szCs w:val="20"/>
        </w:rPr>
        <w:t>1</w:t>
      </w:r>
      <w:r w:rsidRPr="00177D2D">
        <w:rPr>
          <w:rFonts w:ascii="Verdana" w:hAnsi="Verdana"/>
          <w:sz w:val="20"/>
          <w:szCs w:val="20"/>
        </w:rPr>
        <w:t xml:space="preserve"> </w:t>
      </w:r>
      <w:r w:rsidRPr="00177D2D">
        <w:rPr>
          <w:rFonts w:ascii="Verdana" w:hAnsi="Verdana"/>
          <w:sz w:val="20"/>
          <w:szCs w:val="20"/>
        </w:rPr>
        <w:t>was as follows</w:t>
      </w:r>
      <w:r w:rsidRPr="00635E0B">
        <w:rPr>
          <w:rFonts w:ascii="Verdana" w:hAnsi="Verdana" w:cs="Arial"/>
          <w:bCs/>
          <w:color w:val="183850" w:themeColor="text1"/>
          <w:sz w:val="20"/>
          <w:szCs w:val="20"/>
        </w:rPr>
        <w:t xml:space="preserve">: </w:t>
      </w:r>
    </w:p>
    <w:p w:rsidR="00177D2D" w:rsidRPr="00635E0B" w:rsidP="00635E0B">
      <w:pPr>
        <w:autoSpaceDE w:val="0"/>
        <w:autoSpaceDN w:val="0"/>
        <w:adjustRightInd w:val="0"/>
        <w:spacing w:after="0"/>
        <w:rPr>
          <w:rFonts w:ascii="Verdana" w:hAnsi="Verdana" w:cs="Arial"/>
          <w:bCs/>
          <w:color w:val="183850" w:themeColor="text1"/>
          <w:sz w:val="20"/>
          <w:szCs w:val="20"/>
        </w:rPr>
      </w:pPr>
      <w:r>
        <w:rPr>
          <w:noProof/>
          <w:lang w:eastAsia="en-GB"/>
        </w:rPr>
        <w:drawing>
          <wp:inline distT="0" distB="0" distL="0" distR="0">
            <wp:extent cx="4968240" cy="2051107"/>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4986148" cy="2058500"/>
                    </a:xfrm>
                    <a:prstGeom prst="rect">
                      <a:avLst/>
                    </a:prstGeom>
                  </pic:spPr>
                </pic:pic>
              </a:graphicData>
            </a:graphic>
          </wp:inline>
        </w:drawing>
      </w:r>
    </w:p>
    <w:p w:rsidR="00E970D2" w:rsidP="000A2D9D">
      <w:pPr>
        <w:autoSpaceDE w:val="0"/>
        <w:autoSpaceDN w:val="0"/>
        <w:adjustRightInd w:val="0"/>
        <w:spacing w:after="0" w:line="240" w:lineRule="auto"/>
        <w:rPr>
          <w:rFonts w:ascii="Seravek-Light" w:hAnsi="Seravek-Light" w:cs="Seravek-Light"/>
        </w:rPr>
      </w:pPr>
    </w:p>
    <w:p w:rsidR="000A2D9D" w:rsidRPr="001C00B7" w:rsidP="000A2D9D">
      <w:pPr>
        <w:autoSpaceDE w:val="0"/>
        <w:autoSpaceDN w:val="0"/>
        <w:adjustRightInd w:val="0"/>
        <w:spacing w:after="0" w:line="240" w:lineRule="auto"/>
        <w:rPr>
          <w:rFonts w:ascii="Verdana" w:hAnsi="Verdana"/>
          <w:sz w:val="20"/>
          <w:szCs w:val="20"/>
        </w:rPr>
      </w:pPr>
      <w:r w:rsidRPr="001C00B7">
        <w:rPr>
          <w:rFonts w:ascii="Verdana" w:hAnsi="Verdana" w:cs="Seravek-Light"/>
          <w:sz w:val="20"/>
          <w:szCs w:val="20"/>
        </w:rPr>
        <w:t xml:space="preserve">The predominant </w:t>
      </w:r>
      <w:r w:rsidRPr="001C00B7">
        <w:rPr>
          <w:rFonts w:ascii="Verdana" w:hAnsi="Verdana" w:cs="Seravek-Light"/>
          <w:sz w:val="20"/>
          <w:szCs w:val="20"/>
        </w:rPr>
        <w:t>theme in Q1 w</w:t>
      </w:r>
      <w:r w:rsidRPr="001C00B7">
        <w:rPr>
          <w:rFonts w:ascii="Verdana" w:hAnsi="Verdana" w:cs="Seravek-Light"/>
          <w:sz w:val="20"/>
          <w:szCs w:val="20"/>
        </w:rPr>
        <w:t>as</w:t>
      </w:r>
      <w:r w:rsidRPr="001C00B7">
        <w:rPr>
          <w:rFonts w:ascii="Verdana" w:hAnsi="Verdana" w:cs="Seravek-Light"/>
          <w:sz w:val="20"/>
          <w:szCs w:val="20"/>
        </w:rPr>
        <w:t xml:space="preserve"> </w:t>
      </w:r>
      <w:r w:rsidRPr="001C00B7">
        <w:rPr>
          <w:rFonts w:ascii="Verdana" w:hAnsi="Verdana" w:cs="Seravek-Light"/>
          <w:sz w:val="20"/>
          <w:szCs w:val="20"/>
        </w:rPr>
        <w:t xml:space="preserve">human rights, </w:t>
      </w:r>
      <w:r w:rsidRPr="001C00B7">
        <w:rPr>
          <w:rFonts w:ascii="Verdana" w:hAnsi="Verdana" w:cs="Seravek-Light"/>
          <w:sz w:val="20"/>
          <w:szCs w:val="20"/>
        </w:rPr>
        <w:t xml:space="preserve">the relatively large number of interactions reflecting LAPFF’s participation in two broader investor initiatives, one on the safety of </w:t>
      </w:r>
      <w:r w:rsidRPr="001C00B7">
        <w:rPr>
          <w:rFonts w:ascii="Verdana" w:hAnsi="Verdana" w:cs="Seravek-Light"/>
          <w:sz w:val="20"/>
          <w:szCs w:val="20"/>
        </w:rPr>
        <w:t xml:space="preserve">mine </w:t>
      </w:r>
      <w:r w:rsidRPr="001C00B7">
        <w:rPr>
          <w:rFonts w:ascii="Verdana" w:hAnsi="Verdana" w:cs="Seravek-Light"/>
          <w:sz w:val="20"/>
          <w:szCs w:val="20"/>
        </w:rPr>
        <w:t>tailings dams following the loss of life caused by the failure</w:t>
      </w:r>
      <w:r w:rsidRPr="001C00B7">
        <w:rPr>
          <w:rFonts w:ascii="Verdana" w:hAnsi="Verdana" w:cs="Seravek-Light"/>
          <w:sz w:val="20"/>
          <w:szCs w:val="20"/>
        </w:rPr>
        <w:t xml:space="preserve"> of the</w:t>
      </w:r>
      <w:r w:rsidRPr="001C00B7">
        <w:rPr>
          <w:rFonts w:ascii="Verdana" w:hAnsi="Verdana" w:cs="Seravek-Light"/>
          <w:sz w:val="20"/>
          <w:szCs w:val="20"/>
        </w:rPr>
        <w:t xml:space="preserve"> </w:t>
      </w:r>
      <w:r w:rsidRPr="001C00B7">
        <w:rPr>
          <w:rFonts w:ascii="Verdana" w:hAnsi="Verdana" w:cs="Seravek-Light"/>
          <w:sz w:val="20"/>
          <w:szCs w:val="20"/>
        </w:rPr>
        <w:t>Vale tailings da</w:t>
      </w:r>
      <w:r w:rsidRPr="001C00B7">
        <w:rPr>
          <w:rFonts w:ascii="Verdana" w:hAnsi="Verdana" w:cs="Seravek-Light"/>
          <w:sz w:val="20"/>
          <w:szCs w:val="20"/>
        </w:rPr>
        <w:t xml:space="preserve">m in </w:t>
      </w:r>
      <w:r w:rsidRPr="001C00B7">
        <w:rPr>
          <w:rFonts w:ascii="Verdana" w:hAnsi="Verdana" w:cs="Seravek-Light"/>
          <w:sz w:val="20"/>
          <w:szCs w:val="20"/>
        </w:rPr>
        <w:t>Brumadinho</w:t>
      </w:r>
      <w:r w:rsidRPr="001C00B7">
        <w:rPr>
          <w:rFonts w:ascii="Verdana" w:hAnsi="Verdana" w:cs="Seravek-Light"/>
          <w:sz w:val="20"/>
          <w:szCs w:val="20"/>
        </w:rPr>
        <w:t xml:space="preserve"> </w:t>
      </w:r>
      <w:r w:rsidRPr="001C00B7">
        <w:rPr>
          <w:rFonts w:ascii="Verdana" w:hAnsi="Verdana" w:cs="Seravek-Light"/>
          <w:sz w:val="20"/>
          <w:szCs w:val="20"/>
        </w:rPr>
        <w:t xml:space="preserve">Brazil </w:t>
      </w:r>
      <w:r w:rsidRPr="001C00B7">
        <w:rPr>
          <w:rFonts w:ascii="Verdana" w:hAnsi="Verdana" w:cs="Seravek-Light"/>
          <w:sz w:val="20"/>
          <w:szCs w:val="20"/>
        </w:rPr>
        <w:t>in late January</w:t>
      </w:r>
      <w:r w:rsidRPr="001C00B7">
        <w:rPr>
          <w:rFonts w:ascii="Verdana" w:hAnsi="Verdana" w:cs="Seravek-Light"/>
          <w:sz w:val="20"/>
          <w:szCs w:val="20"/>
        </w:rPr>
        <w:t xml:space="preserve"> 2019</w:t>
      </w:r>
      <w:r w:rsidRPr="001C00B7">
        <w:rPr>
          <w:rFonts w:ascii="Verdana" w:hAnsi="Verdana" w:cs="Seravek-Light"/>
          <w:sz w:val="20"/>
          <w:szCs w:val="20"/>
        </w:rPr>
        <w:t xml:space="preserve"> (on which f</w:t>
      </w:r>
      <w:r w:rsidRPr="001C00B7">
        <w:rPr>
          <w:rFonts w:ascii="Verdana" w:hAnsi="Verdana"/>
          <w:sz w:val="20"/>
          <w:szCs w:val="20"/>
        </w:rPr>
        <w:t>urther information appears below</w:t>
      </w:r>
      <w:r w:rsidRPr="001C00B7">
        <w:rPr>
          <w:rFonts w:ascii="Verdana" w:hAnsi="Verdana" w:cs="Seravek-Light"/>
          <w:sz w:val="20"/>
          <w:szCs w:val="20"/>
        </w:rPr>
        <w:t xml:space="preserve">) and a second encouraging best practice by insurance companies in the provision of micro insurance policies </w:t>
      </w:r>
      <w:r w:rsidRPr="001C00B7">
        <w:rPr>
          <w:rFonts w:ascii="Verdana" w:hAnsi="Verdana" w:cs="Seravek-Light"/>
          <w:sz w:val="20"/>
          <w:szCs w:val="20"/>
        </w:rPr>
        <w:t>offering</w:t>
      </w:r>
      <w:r w:rsidRPr="001C00B7">
        <w:rPr>
          <w:rFonts w:ascii="Verdana" w:hAnsi="Verdana" w:cs="Seravek-Light"/>
          <w:sz w:val="20"/>
          <w:szCs w:val="20"/>
        </w:rPr>
        <w:t xml:space="preserve"> fair and transparent products to the least well ser</w:t>
      </w:r>
      <w:r w:rsidRPr="001C00B7">
        <w:rPr>
          <w:rFonts w:ascii="Verdana" w:hAnsi="Verdana" w:cs="Seravek-Light"/>
          <w:sz w:val="20"/>
          <w:szCs w:val="20"/>
        </w:rPr>
        <w:t>ved sections of the community.</w:t>
      </w:r>
    </w:p>
    <w:p w:rsidR="005213D9" w:rsidRPr="001C00B7" w:rsidP="000A2D9D">
      <w:pPr>
        <w:autoSpaceDE w:val="0"/>
        <w:autoSpaceDN w:val="0"/>
        <w:adjustRightInd w:val="0"/>
        <w:spacing w:after="0" w:line="240" w:lineRule="auto"/>
        <w:rPr>
          <w:rFonts w:ascii="Verdana" w:hAnsi="Verdana"/>
          <w:sz w:val="20"/>
          <w:szCs w:val="20"/>
        </w:rPr>
      </w:pPr>
    </w:p>
    <w:p w:rsidR="00DE0A23" w:rsidRPr="001C00B7" w:rsidP="000A2D9D">
      <w:pPr>
        <w:autoSpaceDE w:val="0"/>
        <w:autoSpaceDN w:val="0"/>
        <w:adjustRightInd w:val="0"/>
        <w:spacing w:after="0" w:line="240" w:lineRule="auto"/>
        <w:rPr>
          <w:rFonts w:ascii="Verdana" w:hAnsi="Verdana" w:cs="Seravek-Light"/>
          <w:sz w:val="20"/>
          <w:szCs w:val="20"/>
        </w:rPr>
      </w:pPr>
      <w:r w:rsidRPr="001C00B7">
        <w:rPr>
          <w:rFonts w:ascii="Verdana" w:hAnsi="Verdana"/>
          <w:sz w:val="20"/>
          <w:szCs w:val="20"/>
        </w:rPr>
        <w:t xml:space="preserve">The </w:t>
      </w:r>
      <w:r w:rsidRPr="001C00B7">
        <w:rPr>
          <w:rFonts w:ascii="Verdana" w:hAnsi="Verdana"/>
          <w:sz w:val="20"/>
          <w:szCs w:val="20"/>
        </w:rPr>
        <w:t>82</w:t>
      </w:r>
      <w:r w:rsidRPr="001C00B7">
        <w:rPr>
          <w:rFonts w:ascii="Verdana" w:hAnsi="Verdana"/>
          <w:sz w:val="20"/>
          <w:szCs w:val="20"/>
        </w:rPr>
        <w:t xml:space="preserve"> </w:t>
      </w:r>
      <w:r w:rsidRPr="001C00B7">
        <w:rPr>
          <w:rFonts w:ascii="Verdana" w:hAnsi="Verdana"/>
          <w:sz w:val="20"/>
          <w:szCs w:val="20"/>
        </w:rPr>
        <w:t>c</w:t>
      </w:r>
      <w:r w:rsidRPr="001C00B7">
        <w:rPr>
          <w:rFonts w:ascii="Verdana" w:hAnsi="Verdana"/>
          <w:sz w:val="20"/>
          <w:szCs w:val="20"/>
        </w:rPr>
        <w:t xml:space="preserve">ompanies engaged with and the topics </w:t>
      </w:r>
      <w:r w:rsidRPr="001C00B7">
        <w:rPr>
          <w:rFonts w:ascii="Verdana" w:hAnsi="Verdana"/>
          <w:sz w:val="20"/>
          <w:szCs w:val="20"/>
        </w:rPr>
        <w:t>covered</w:t>
      </w:r>
      <w:r w:rsidRPr="001C00B7">
        <w:rPr>
          <w:rFonts w:ascii="Verdana" w:hAnsi="Verdana"/>
          <w:sz w:val="20"/>
          <w:szCs w:val="20"/>
        </w:rPr>
        <w:t xml:space="preserve"> </w:t>
      </w:r>
      <w:r w:rsidRPr="001C00B7">
        <w:rPr>
          <w:rFonts w:ascii="Verdana" w:hAnsi="Verdana"/>
          <w:sz w:val="20"/>
          <w:szCs w:val="20"/>
        </w:rPr>
        <w:t xml:space="preserve">by LAPFF </w:t>
      </w:r>
      <w:r w:rsidRPr="001C00B7">
        <w:rPr>
          <w:rFonts w:ascii="Verdana" w:hAnsi="Verdana"/>
          <w:sz w:val="20"/>
          <w:szCs w:val="20"/>
        </w:rPr>
        <w:t>in Q</w:t>
      </w:r>
      <w:r w:rsidRPr="001C00B7">
        <w:rPr>
          <w:rFonts w:ascii="Verdana" w:hAnsi="Verdana"/>
          <w:sz w:val="20"/>
          <w:szCs w:val="20"/>
        </w:rPr>
        <w:t>1</w:t>
      </w:r>
      <w:r w:rsidRPr="001C00B7">
        <w:rPr>
          <w:rFonts w:ascii="Verdana" w:hAnsi="Verdana"/>
          <w:sz w:val="20"/>
          <w:szCs w:val="20"/>
        </w:rPr>
        <w:t xml:space="preserve"> </w:t>
      </w:r>
      <w:r w:rsidRPr="001C00B7">
        <w:rPr>
          <w:rFonts w:ascii="Verdana" w:hAnsi="Verdana"/>
          <w:sz w:val="20"/>
          <w:szCs w:val="20"/>
        </w:rPr>
        <w:t>were as follows:</w:t>
      </w:r>
    </w:p>
    <w:p w:rsidR="00C857CD" w:rsidP="00011376">
      <w:pPr>
        <w:autoSpaceDE w:val="0"/>
        <w:autoSpaceDN w:val="0"/>
        <w:adjustRightInd w:val="0"/>
        <w:spacing w:after="0"/>
        <w:rPr>
          <w:rFonts w:ascii="Verdana" w:hAnsi="Verdana" w:cs="Arial"/>
          <w:bCs/>
          <w:color w:val="183850" w:themeColor="text1"/>
          <w:sz w:val="20"/>
          <w:szCs w:val="20"/>
        </w:rPr>
      </w:pPr>
      <w:r>
        <w:rPr>
          <w:noProof/>
          <w:lang w:eastAsia="en-GB"/>
        </w:rPr>
        <w:drawing>
          <wp:inline distT="0" distB="0" distL="0" distR="0">
            <wp:extent cx="6026683" cy="7185660"/>
            <wp:effectExtent l="0" t="0" r="0" b="0"/>
            <wp:docPr id="1856259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90405" name=""/>
                    <pic:cNvPicPr/>
                  </pic:nvPicPr>
                  <pic:blipFill>
                    <a:blip xmlns:r="http://schemas.openxmlformats.org/officeDocument/2006/relationships" r:embed="rId6"/>
                    <a:stretch>
                      <a:fillRect/>
                    </a:stretch>
                  </pic:blipFill>
                  <pic:spPr>
                    <a:xfrm>
                      <a:off x="0" y="0"/>
                      <a:ext cx="6034966" cy="7195536"/>
                    </a:xfrm>
                    <a:prstGeom prst="rect">
                      <a:avLst/>
                    </a:prstGeom>
                  </pic:spPr>
                </pic:pic>
              </a:graphicData>
            </a:graphic>
          </wp:inline>
        </w:drawing>
      </w:r>
    </w:p>
    <w:p w:rsidR="00C857CD" w:rsidP="00011376">
      <w:pPr>
        <w:autoSpaceDE w:val="0"/>
        <w:autoSpaceDN w:val="0"/>
        <w:adjustRightInd w:val="0"/>
        <w:spacing w:after="0"/>
        <w:rPr>
          <w:rFonts w:ascii="Verdana" w:hAnsi="Verdana" w:cs="Arial"/>
          <w:bCs/>
          <w:color w:val="183850" w:themeColor="text1"/>
          <w:sz w:val="20"/>
          <w:szCs w:val="20"/>
        </w:rPr>
      </w:pPr>
    </w:p>
    <w:p w:rsidR="00C857CD" w:rsidP="00011376">
      <w:pPr>
        <w:autoSpaceDE w:val="0"/>
        <w:autoSpaceDN w:val="0"/>
        <w:adjustRightInd w:val="0"/>
        <w:spacing w:after="0"/>
        <w:rPr>
          <w:rFonts w:ascii="Verdana" w:hAnsi="Verdana" w:cs="Arial"/>
          <w:bCs/>
          <w:color w:val="183850" w:themeColor="text1"/>
          <w:sz w:val="20"/>
          <w:szCs w:val="20"/>
        </w:rPr>
      </w:pPr>
    </w:p>
    <w:p w:rsidR="00C857CD" w:rsidP="00011376">
      <w:pPr>
        <w:autoSpaceDE w:val="0"/>
        <w:autoSpaceDN w:val="0"/>
        <w:adjustRightInd w:val="0"/>
        <w:spacing w:after="0"/>
        <w:rPr>
          <w:rFonts w:ascii="Verdana" w:hAnsi="Verdana" w:cs="Arial"/>
          <w:bCs/>
          <w:color w:val="183850" w:themeColor="text1"/>
          <w:sz w:val="20"/>
          <w:szCs w:val="20"/>
        </w:rPr>
      </w:pPr>
    </w:p>
    <w:p w:rsidR="00C857CD" w:rsidRPr="00E970D2" w:rsidP="00627E69">
      <w:pPr>
        <w:autoSpaceDE w:val="0"/>
        <w:autoSpaceDN w:val="0"/>
        <w:adjustRightInd w:val="0"/>
        <w:spacing w:after="0"/>
        <w:rPr>
          <w:rFonts w:ascii="Verdana" w:hAnsi="Verdana" w:cs="Arial"/>
          <w:bCs/>
          <w:color w:val="183850" w:themeColor="text1"/>
          <w:sz w:val="20"/>
          <w:szCs w:val="2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7837170</wp:posOffset>
                </wp:positionV>
                <wp:extent cx="476250"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5" style="mso-wrap-distance-bottom:0;mso-wrap-distance-left:9pt;mso-wrap-distance-right:9pt;mso-wrap-distance-top:0;mso-wrap-style:square;position:absolute;visibility:visible;z-index:251665408" from="8.25pt,617.1pt" to="45.75pt,617.1pt" strokecolor="#70c8f2"/>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123824</wp:posOffset>
                </wp:positionH>
                <wp:positionV relativeFrom="paragraph">
                  <wp:posOffset>7713345</wp:posOffset>
                </wp:positionV>
                <wp:extent cx="1095375" cy="9525"/>
                <wp:effectExtent l="0" t="0" r="28575" b="28575"/>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mso-wrap-distance-bottom:0;mso-wrap-distance-left:9pt;mso-wrap-distance-right:9pt;mso-wrap-distance-top:0;mso-wrap-style:square;position:absolute;visibility:visible;z-index:251663360" from="9.75pt,607.35pt" to="96pt,608.1pt" strokecolor="#70c8f2"/>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8446770</wp:posOffset>
                </wp:positionV>
                <wp:extent cx="647700" cy="9525"/>
                <wp:effectExtent l="0" t="0" r="19050" b="28575"/>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flipV="1">
                          <a:off x="0" y="0"/>
                          <a:ext cx="647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7" style="flip:y;mso-wrap-distance-bottom:0;mso-wrap-distance-left:9pt;mso-wrap-distance-right:9pt;mso-wrap-distance-top:0;mso-wrap-style:square;position:absolute;visibility:visible;z-index:251661312" from="9pt,665.1pt" to="60pt,665.85pt" strokecolor="#70c8f2"/>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8103870</wp:posOffset>
                </wp:positionV>
                <wp:extent cx="647700" cy="9525"/>
                <wp:effectExtent l="0" t="0" r="19050" b="28575"/>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V="1">
                          <a:off x="0" y="0"/>
                          <a:ext cx="647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8" style="flip:y;mso-wrap-distance-bottom:0;mso-wrap-distance-left:9pt;mso-wrap-distance-right:9pt;mso-wrap-distance-top:0;mso-wrap-style:square;position:absolute;visibility:visible;z-index:251659264" from="7.5pt,638.1pt" to="58.5pt,638.85pt" strokecolor="#70c8f2"/>
            </w:pict>
          </mc:Fallback>
        </mc:AlternateContent>
      </w:r>
    </w:p>
    <w:p w:rsidR="00C857CD" w:rsidP="00627E69">
      <w:pPr>
        <w:autoSpaceDE w:val="0"/>
        <w:autoSpaceDN w:val="0"/>
        <w:adjustRightInd w:val="0"/>
        <w:spacing w:after="0"/>
        <w:rPr>
          <w:rFonts w:ascii="Verdana" w:hAnsi="Verdana"/>
          <w:bCs/>
          <w:sz w:val="20"/>
          <w:szCs w:val="20"/>
        </w:rPr>
      </w:pPr>
      <w:r>
        <w:rPr>
          <w:noProof/>
          <w:lang w:eastAsia="en-GB"/>
        </w:rPr>
        <w:drawing>
          <wp:inline distT="0" distB="0" distL="0" distR="0">
            <wp:extent cx="5836920" cy="647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478072" name=""/>
                    <pic:cNvPicPr/>
                  </pic:nvPicPr>
                  <pic:blipFill>
                    <a:blip xmlns:r="http://schemas.openxmlformats.org/officeDocument/2006/relationships" r:embed="rId7"/>
                    <a:stretch>
                      <a:fillRect/>
                    </a:stretch>
                  </pic:blipFill>
                  <pic:spPr>
                    <a:xfrm>
                      <a:off x="0" y="0"/>
                      <a:ext cx="5842009" cy="6483869"/>
                    </a:xfrm>
                    <a:prstGeom prst="rect">
                      <a:avLst/>
                    </a:prstGeom>
                  </pic:spPr>
                </pic:pic>
              </a:graphicData>
            </a:graphic>
          </wp:inline>
        </w:drawing>
      </w:r>
    </w:p>
    <w:p w:rsidR="00DE0A23" w:rsidP="00627E69">
      <w:pPr>
        <w:autoSpaceDE w:val="0"/>
        <w:autoSpaceDN w:val="0"/>
        <w:adjustRightInd w:val="0"/>
        <w:spacing w:after="0"/>
        <w:rPr>
          <w:rFonts w:ascii="Verdana" w:hAnsi="Verdana"/>
          <w:bCs/>
          <w:sz w:val="20"/>
          <w:szCs w:val="20"/>
        </w:rPr>
      </w:pPr>
      <w:r>
        <w:rPr>
          <w:noProof/>
          <w:lang w:eastAsia="en-GB"/>
        </w:rPr>
        <w:drawing>
          <wp:anchor distT="0" distB="0" distL="114300" distR="114300" simplePos="0" relativeHeight="251666432" behindDoc="0" locked="0" layoutInCell="1" allowOverlap="1">
            <wp:simplePos x="0" y="0"/>
            <wp:positionH relativeFrom="column">
              <wp:posOffset>19050</wp:posOffset>
            </wp:positionH>
            <wp:positionV relativeFrom="paragraph">
              <wp:posOffset>5646420</wp:posOffset>
            </wp:positionV>
            <wp:extent cx="5105400" cy="203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526903" name=""/>
                    <pic:cNvPicPr/>
                  </pic:nvPicPr>
                  <pic:blipFill rotWithShape="1">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t="17054"/>
                    <a:stretch>
                      <a:fillRect/>
                    </a:stretch>
                  </pic:blipFill>
                  <pic:spPr bwMode="auto">
                    <a:xfrm>
                      <a:off x="0" y="0"/>
                      <a:ext cx="5105400" cy="20383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D2D" w:rsidRPr="003606C9" w:rsidP="003606C9">
      <w:pPr>
        <w:spacing w:after="0"/>
        <w:rPr>
          <w:rFonts w:ascii="Verdana" w:hAnsi="Verdana"/>
          <w:snapToGrid w:val="0"/>
          <w:color w:val="0C1B27" w:themeColor="text1" w:themeShade="80"/>
          <w:sz w:val="20"/>
          <w:szCs w:val="20"/>
        </w:rPr>
      </w:pPr>
      <w:r>
        <w:rPr>
          <w:rFonts w:ascii="Verdana" w:hAnsi="Verdana"/>
          <w:bCs/>
          <w:sz w:val="20"/>
          <w:szCs w:val="20"/>
        </w:rPr>
        <w:t>17</w:t>
      </w:r>
      <w:r w:rsidRPr="003606C9">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of the </w:t>
      </w:r>
      <w:r w:rsidRPr="003606C9">
        <w:rPr>
          <w:rFonts w:ascii="Verdana" w:hAnsi="Verdana"/>
          <w:snapToGrid w:val="0"/>
          <w:color w:val="0C1B27" w:themeColor="text1" w:themeShade="80"/>
          <w:sz w:val="20"/>
          <w:szCs w:val="20"/>
        </w:rPr>
        <w:t>companies</w:t>
      </w:r>
      <w:r>
        <w:rPr>
          <w:rFonts w:ascii="Verdana" w:hAnsi="Verdana"/>
          <w:snapToGrid w:val="0"/>
          <w:color w:val="0C1B27" w:themeColor="text1" w:themeShade="80"/>
          <w:sz w:val="20"/>
          <w:szCs w:val="20"/>
        </w:rPr>
        <w:t xml:space="preserve"> engaged with</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highlighted</w:t>
      </w:r>
      <w:r w:rsidRPr="003606C9">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above</w:t>
      </w:r>
      <w:r w:rsidRPr="003606C9">
        <w:rPr>
          <w:rFonts w:ascii="Verdana" w:hAnsi="Verdana"/>
          <w:snapToGrid w:val="0"/>
          <w:color w:val="0C1B27" w:themeColor="text1" w:themeShade="80"/>
          <w:sz w:val="20"/>
          <w:szCs w:val="20"/>
        </w:rPr>
        <w:t>) are held within the LPPI Global Equities Fund in which LCPF owns units.</w:t>
      </w:r>
    </w:p>
    <w:p w:rsidR="00C857CD" w:rsidRPr="003606C9" w:rsidP="00C857CD">
      <w:pPr>
        <w:spacing w:after="0"/>
        <w:rPr>
          <w:rFonts w:ascii="Verdana" w:hAnsi="Verdana"/>
          <w:snapToGrid w:val="0"/>
          <w:color w:val="0C1B27" w:themeColor="text1" w:themeShade="80"/>
          <w:sz w:val="20"/>
          <w:szCs w:val="20"/>
        </w:rPr>
      </w:pPr>
    </w:p>
    <w:p w:rsidR="00DE0A23" w:rsidP="00DE0A23">
      <w:pPr>
        <w:spacing w:after="0"/>
        <w:rPr>
          <w:rFonts w:ascii="Verdana" w:hAnsi="Verdana"/>
          <w:snapToGrid w:val="0"/>
          <w:color w:val="0C1B27" w:themeColor="text1" w:themeShade="80"/>
          <w:sz w:val="20"/>
          <w:szCs w:val="20"/>
        </w:rPr>
      </w:pPr>
      <w:r w:rsidRPr="00437ABE">
        <w:rPr>
          <w:rFonts w:ascii="Verdana" w:hAnsi="Verdana"/>
          <w:snapToGrid w:val="0"/>
          <w:color w:val="0C1B27" w:themeColor="text1" w:themeShade="80"/>
          <w:sz w:val="20"/>
          <w:szCs w:val="20"/>
        </w:rPr>
        <w:t xml:space="preserve">LPPI </w:t>
      </w:r>
      <w:r>
        <w:rPr>
          <w:rFonts w:ascii="Verdana" w:hAnsi="Verdana"/>
          <w:snapToGrid w:val="0"/>
          <w:color w:val="0C1B27" w:themeColor="text1" w:themeShade="80"/>
          <w:sz w:val="20"/>
          <w:szCs w:val="20"/>
        </w:rPr>
        <w:t xml:space="preserve">is </w:t>
      </w:r>
      <w:r>
        <w:rPr>
          <w:rFonts w:ascii="Verdana" w:hAnsi="Verdana"/>
          <w:snapToGrid w:val="0"/>
          <w:color w:val="0C1B27" w:themeColor="text1" w:themeShade="80"/>
          <w:sz w:val="20"/>
          <w:szCs w:val="20"/>
        </w:rPr>
        <w:t>engag</w:t>
      </w:r>
      <w:r>
        <w:rPr>
          <w:rFonts w:ascii="Verdana" w:hAnsi="Verdana"/>
          <w:snapToGrid w:val="0"/>
          <w:color w:val="0C1B27" w:themeColor="text1" w:themeShade="80"/>
          <w:sz w:val="20"/>
          <w:szCs w:val="20"/>
        </w:rPr>
        <w:t>ing</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via </w:t>
      </w:r>
      <w:r w:rsidRPr="00DE0A23">
        <w:rPr>
          <w:rFonts w:ascii="Verdana" w:hAnsi="Verdana"/>
          <w:snapToGrid w:val="0"/>
          <w:color w:val="0C1B27" w:themeColor="text1" w:themeShade="80"/>
          <w:sz w:val="20"/>
          <w:szCs w:val="20"/>
        </w:rPr>
        <w:t>a range</w:t>
      </w:r>
      <w:r>
        <w:rPr>
          <w:rFonts w:ascii="Verdana" w:hAnsi="Verdana"/>
          <w:snapToGrid w:val="0"/>
          <w:color w:val="0C1B27" w:themeColor="text1" w:themeShade="80"/>
          <w:sz w:val="20"/>
          <w:szCs w:val="20"/>
        </w:rPr>
        <w:t xml:space="preserve"> of investor collaborations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on an ongoing basis </w:t>
      </w:r>
      <w:r>
        <w:rPr>
          <w:rFonts w:ascii="Verdana" w:hAnsi="Verdana"/>
          <w:snapToGrid w:val="0"/>
          <w:color w:val="0C1B27" w:themeColor="text1" w:themeShade="80"/>
          <w:sz w:val="20"/>
          <w:szCs w:val="20"/>
        </w:rPr>
        <w:t xml:space="preserve">and is </w:t>
      </w:r>
      <w:r>
        <w:rPr>
          <w:rFonts w:ascii="Verdana" w:hAnsi="Verdana"/>
          <w:snapToGrid w:val="0"/>
          <w:color w:val="0C1B27" w:themeColor="text1" w:themeShade="80"/>
          <w:sz w:val="20"/>
          <w:szCs w:val="20"/>
        </w:rPr>
        <w:t>communicat</w:t>
      </w:r>
      <w:r>
        <w:rPr>
          <w:rFonts w:ascii="Verdana" w:hAnsi="Verdana"/>
          <w:snapToGrid w:val="0"/>
          <w:color w:val="0C1B27" w:themeColor="text1" w:themeShade="80"/>
          <w:sz w:val="20"/>
          <w:szCs w:val="20"/>
        </w:rPr>
        <w:t>ing</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with investee companies</w:t>
      </w:r>
      <w:r>
        <w:rPr>
          <w:rFonts w:ascii="Verdana" w:hAnsi="Verdana"/>
          <w:snapToGrid w:val="0"/>
          <w:color w:val="0C1B27" w:themeColor="text1" w:themeShade="80"/>
          <w:sz w:val="20"/>
          <w:szCs w:val="20"/>
        </w:rPr>
        <w:t xml:space="preserve"> and other parties including</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policy makers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regulators, service providers </w:t>
      </w:r>
      <w:r>
        <w:rPr>
          <w:rFonts w:ascii="Verdana" w:hAnsi="Verdana"/>
          <w:snapToGrid w:val="0"/>
          <w:color w:val="0C1B27" w:themeColor="text1" w:themeShade="80"/>
          <w:sz w:val="20"/>
          <w:szCs w:val="20"/>
        </w:rPr>
        <w:t xml:space="preserve">and external </w:t>
      </w:r>
      <w:r>
        <w:rPr>
          <w:rFonts w:ascii="Verdana" w:hAnsi="Verdana"/>
          <w:snapToGrid w:val="0"/>
          <w:color w:val="0C1B27" w:themeColor="text1" w:themeShade="80"/>
          <w:sz w:val="20"/>
          <w:szCs w:val="20"/>
        </w:rPr>
        <w:t xml:space="preserve">asset </w:t>
      </w:r>
      <w:r>
        <w:rPr>
          <w:rFonts w:ascii="Verdana" w:hAnsi="Verdana"/>
          <w:snapToGrid w:val="0"/>
          <w:color w:val="0C1B27" w:themeColor="text1" w:themeShade="80"/>
          <w:sz w:val="20"/>
          <w:szCs w:val="20"/>
        </w:rPr>
        <w:t>managers</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w:t>
      </w:r>
      <w:r w:rsidRPr="00DE0A23">
        <w:rPr>
          <w:rFonts w:ascii="Verdana" w:hAnsi="Verdana"/>
          <w:snapToGrid w:val="0"/>
          <w:color w:val="0C1B27" w:themeColor="text1" w:themeShade="80"/>
          <w:sz w:val="20"/>
          <w:szCs w:val="20"/>
        </w:rPr>
        <w:t>Examples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of engagement </w:t>
      </w:r>
      <w:r>
        <w:rPr>
          <w:rFonts w:ascii="Verdana" w:hAnsi="Verdana"/>
          <w:snapToGrid w:val="0"/>
          <w:color w:val="0C1B27" w:themeColor="text1" w:themeShade="80"/>
          <w:sz w:val="20"/>
          <w:szCs w:val="20"/>
        </w:rPr>
        <w:t>from</w:t>
      </w:r>
      <w:r w:rsidRPr="00DE0A23">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Q1 </w:t>
      </w:r>
      <w:r w:rsidRPr="00DE0A23">
        <w:rPr>
          <w:rFonts w:ascii="Verdana" w:hAnsi="Verdana"/>
          <w:snapToGrid w:val="0"/>
          <w:color w:val="0C1B27" w:themeColor="text1" w:themeShade="80"/>
          <w:sz w:val="20"/>
          <w:szCs w:val="20"/>
        </w:rPr>
        <w:t>include the following activities and initiatives.</w:t>
      </w:r>
    </w:p>
    <w:p w:rsidR="00DE0A23" w:rsidRPr="00DE0A23" w:rsidP="00DE0A23">
      <w:pPr>
        <w:spacing w:after="0"/>
        <w:rPr>
          <w:rFonts w:ascii="Verdana" w:hAnsi="Verdana"/>
          <w:snapToGrid w:val="0"/>
          <w:color w:val="0C1B27" w:themeColor="text1" w:themeShade="80"/>
          <w:sz w:val="20"/>
          <w:szCs w:val="20"/>
        </w:rPr>
      </w:pPr>
    </w:p>
    <w:p w:rsidR="008706D6" w:rsidRPr="008706D6" w:rsidP="008706D6">
      <w:pPr>
        <w:rPr>
          <w:rFonts w:ascii="Verdana" w:hAnsi="Verdana" w:cs="Arial"/>
          <w:b/>
          <w:bCs/>
          <w:color w:val="183850" w:themeColor="text1"/>
          <w:sz w:val="20"/>
          <w:szCs w:val="20"/>
        </w:rPr>
      </w:pPr>
      <w:r w:rsidRPr="008706D6">
        <w:rPr>
          <w:rFonts w:ascii="Verdana" w:hAnsi="Verdana" w:cs="Arial"/>
          <w:b/>
          <w:bCs/>
          <w:color w:val="183850" w:themeColor="text1"/>
          <w:sz w:val="20"/>
          <w:szCs w:val="20"/>
        </w:rPr>
        <w:t xml:space="preserve">Investor Mining &amp; Tailings Safety Initiative </w:t>
      </w:r>
    </w:p>
    <w:p w:rsidR="008706D6" w:rsidRPr="005213D9" w:rsidP="008706D6">
      <w:pPr>
        <w:spacing w:after="0"/>
        <w:rPr>
          <w:rFonts w:ascii="Verdana" w:hAnsi="Verdana"/>
          <w:snapToGrid w:val="0"/>
          <w:color w:val="0C1B27" w:themeColor="text1" w:themeShade="80"/>
          <w:sz w:val="20"/>
          <w:szCs w:val="20"/>
        </w:rPr>
      </w:pPr>
      <w:r w:rsidRPr="005213D9">
        <w:rPr>
          <w:rFonts w:ascii="Verdana" w:hAnsi="Verdana"/>
          <w:snapToGrid w:val="0"/>
          <w:color w:val="0C1B27" w:themeColor="text1" w:themeShade="80"/>
          <w:sz w:val="20"/>
          <w:szCs w:val="20"/>
        </w:rPr>
        <w:t xml:space="preserve">LPP </w:t>
      </w:r>
      <w:r>
        <w:rPr>
          <w:rFonts w:ascii="Verdana" w:hAnsi="Verdana"/>
          <w:snapToGrid w:val="0"/>
          <w:color w:val="0C1B27" w:themeColor="text1" w:themeShade="80"/>
          <w:sz w:val="20"/>
          <w:szCs w:val="20"/>
        </w:rPr>
        <w:t>was a signatory to</w:t>
      </w:r>
      <w:r w:rsidRPr="005213D9">
        <w:rPr>
          <w:rFonts w:ascii="Verdana" w:hAnsi="Verdana"/>
          <w:snapToGrid w:val="0"/>
          <w:color w:val="0C1B27" w:themeColor="text1" w:themeShade="80"/>
          <w:sz w:val="20"/>
          <w:szCs w:val="20"/>
        </w:rPr>
        <w:t xml:space="preserve"> an investor letter to 683 mining companies globally seeking improved public disclosure on the extent of their involvement with tailings dams (Tailings Storage Facilities).  Th</w:t>
      </w:r>
      <w:r>
        <w:rPr>
          <w:rFonts w:ascii="Verdana" w:hAnsi="Verdana"/>
          <w:snapToGrid w:val="0"/>
          <w:color w:val="0C1B27" w:themeColor="text1" w:themeShade="80"/>
          <w:sz w:val="20"/>
          <w:szCs w:val="20"/>
        </w:rPr>
        <w:t>is investor</w:t>
      </w:r>
      <w:r w:rsidRPr="005213D9">
        <w:rPr>
          <w:rFonts w:ascii="Verdana" w:hAnsi="Verdana"/>
          <w:snapToGrid w:val="0"/>
          <w:color w:val="0C1B27" w:themeColor="text1" w:themeShade="80"/>
          <w:sz w:val="20"/>
          <w:szCs w:val="20"/>
        </w:rPr>
        <w:t xml:space="preserve"> initiative follows the disaster at the Vale mine in </w:t>
      </w:r>
      <w:r w:rsidRPr="005213D9">
        <w:rPr>
          <w:rFonts w:ascii="Verdana" w:hAnsi="Verdana"/>
          <w:snapToGrid w:val="0"/>
          <w:color w:val="0C1B27" w:themeColor="text1" w:themeShade="80"/>
          <w:sz w:val="20"/>
          <w:szCs w:val="20"/>
        </w:rPr>
        <w:t>Brumadinho</w:t>
      </w:r>
      <w:r w:rsidRPr="005213D9">
        <w:rPr>
          <w:rFonts w:ascii="Verdana" w:hAnsi="Verdana"/>
          <w:snapToGrid w:val="0"/>
          <w:color w:val="0C1B27" w:themeColor="text1" w:themeShade="80"/>
          <w:sz w:val="20"/>
          <w:szCs w:val="20"/>
        </w:rPr>
        <w:t xml:space="preserve"> Brazi</w:t>
      </w:r>
      <w:r w:rsidRPr="005213D9">
        <w:rPr>
          <w:rFonts w:ascii="Verdana" w:hAnsi="Verdana"/>
          <w:snapToGrid w:val="0"/>
          <w:color w:val="0C1B27" w:themeColor="text1" w:themeShade="80"/>
          <w:sz w:val="20"/>
          <w:szCs w:val="20"/>
        </w:rPr>
        <w:t xml:space="preserve">l in January 2019 which killed +300 people. The letter </w:t>
      </w:r>
      <w:r>
        <w:rPr>
          <w:rFonts w:ascii="Verdana" w:hAnsi="Verdana"/>
          <w:snapToGrid w:val="0"/>
          <w:color w:val="0C1B27" w:themeColor="text1" w:themeShade="80"/>
          <w:sz w:val="20"/>
          <w:szCs w:val="20"/>
        </w:rPr>
        <w:t xml:space="preserve">to mining companies </w:t>
      </w:r>
      <w:r w:rsidRPr="005213D9">
        <w:rPr>
          <w:rFonts w:ascii="Verdana" w:hAnsi="Verdana"/>
          <w:snapToGrid w:val="0"/>
          <w:color w:val="0C1B27" w:themeColor="text1" w:themeShade="80"/>
          <w:sz w:val="20"/>
          <w:szCs w:val="20"/>
        </w:rPr>
        <w:t>was signed by 96 investors representing $10.3tn</w:t>
      </w:r>
      <w:r>
        <w:rPr>
          <w:rFonts w:ascii="Verdana" w:hAnsi="Verdana"/>
          <w:snapToGrid w:val="0"/>
          <w:color w:val="0C1B27" w:themeColor="text1" w:themeShade="80"/>
          <w:sz w:val="20"/>
          <w:szCs w:val="20"/>
        </w:rPr>
        <w:t xml:space="preserve"> and recognises that inadequate information </w:t>
      </w:r>
      <w:r>
        <w:rPr>
          <w:rFonts w:ascii="Verdana" w:hAnsi="Verdana"/>
          <w:snapToGrid w:val="0"/>
          <w:color w:val="0C1B27" w:themeColor="text1" w:themeShade="80"/>
          <w:sz w:val="20"/>
          <w:szCs w:val="20"/>
        </w:rPr>
        <w:t xml:space="preserve">exists </w:t>
      </w:r>
      <w:r>
        <w:rPr>
          <w:rFonts w:ascii="Verdana" w:hAnsi="Verdana"/>
          <w:snapToGrid w:val="0"/>
          <w:color w:val="0C1B27" w:themeColor="text1" w:themeShade="80"/>
          <w:sz w:val="20"/>
          <w:szCs w:val="20"/>
        </w:rPr>
        <w:t xml:space="preserve">on the </w:t>
      </w:r>
      <w:r>
        <w:rPr>
          <w:rFonts w:ascii="Verdana" w:hAnsi="Verdana"/>
          <w:snapToGrid w:val="0"/>
          <w:color w:val="0C1B27" w:themeColor="text1" w:themeShade="80"/>
          <w:sz w:val="20"/>
          <w:szCs w:val="20"/>
        </w:rPr>
        <w:t xml:space="preserve">incidence and </w:t>
      </w:r>
      <w:r>
        <w:rPr>
          <w:rFonts w:ascii="Verdana" w:hAnsi="Verdana"/>
          <w:snapToGrid w:val="0"/>
          <w:color w:val="0C1B27" w:themeColor="text1" w:themeShade="80"/>
          <w:sz w:val="20"/>
          <w:szCs w:val="20"/>
        </w:rPr>
        <w:t xml:space="preserve">scale of </w:t>
      </w:r>
      <w:r>
        <w:rPr>
          <w:rFonts w:ascii="Verdana" w:hAnsi="Verdana"/>
          <w:snapToGrid w:val="0"/>
          <w:color w:val="0C1B27" w:themeColor="text1" w:themeShade="80"/>
          <w:sz w:val="20"/>
          <w:szCs w:val="20"/>
        </w:rPr>
        <w:t>tailings storage globally (which prevents an assessme</w:t>
      </w:r>
      <w:r>
        <w:rPr>
          <w:rFonts w:ascii="Verdana" w:hAnsi="Verdana"/>
          <w:snapToGrid w:val="0"/>
          <w:color w:val="0C1B27" w:themeColor="text1" w:themeShade="80"/>
          <w:sz w:val="20"/>
          <w:szCs w:val="20"/>
        </w:rPr>
        <w:t xml:space="preserve">nt of </w:t>
      </w:r>
      <w:r>
        <w:rPr>
          <w:rFonts w:ascii="Verdana" w:hAnsi="Verdana"/>
          <w:snapToGrid w:val="0"/>
          <w:color w:val="0C1B27" w:themeColor="text1" w:themeShade="80"/>
          <w:sz w:val="20"/>
          <w:szCs w:val="20"/>
        </w:rPr>
        <w:t xml:space="preserve">both the </w:t>
      </w:r>
      <w:r>
        <w:rPr>
          <w:rFonts w:ascii="Verdana" w:hAnsi="Verdana"/>
          <w:snapToGrid w:val="0"/>
          <w:color w:val="0C1B27" w:themeColor="text1" w:themeShade="80"/>
          <w:sz w:val="20"/>
          <w:szCs w:val="20"/>
        </w:rPr>
        <w:t>risk</w:t>
      </w:r>
      <w:r>
        <w:rPr>
          <w:rFonts w:ascii="Verdana" w:hAnsi="Verdana"/>
          <w:snapToGrid w:val="0"/>
          <w:color w:val="0C1B27" w:themeColor="text1" w:themeShade="80"/>
          <w:sz w:val="20"/>
          <w:szCs w:val="20"/>
        </w:rPr>
        <w:t>s faced and how well they are being managed by companies</w:t>
      </w:r>
      <w:r>
        <w:rPr>
          <w:rFonts w:ascii="Verdana" w:hAnsi="Verdana"/>
          <w:snapToGrid w:val="0"/>
          <w:color w:val="0C1B27" w:themeColor="text1" w:themeShade="80"/>
          <w:sz w:val="20"/>
          <w:szCs w:val="20"/>
        </w:rPr>
        <w:t>)</w:t>
      </w:r>
      <w:r w:rsidRPr="005213D9">
        <w:rPr>
          <w:rFonts w:ascii="Verdana" w:hAnsi="Verdana"/>
          <w:snapToGrid w:val="0"/>
          <w:color w:val="0C1B27" w:themeColor="text1" w:themeShade="80"/>
          <w:sz w:val="20"/>
          <w:szCs w:val="20"/>
        </w:rPr>
        <w:t>.</w:t>
      </w:r>
    </w:p>
    <w:p w:rsidR="008706D6" w:rsidP="008706D6">
      <w:pPr>
        <w:spacing w:after="0"/>
        <w:rPr>
          <w:szCs w:val="20"/>
        </w:rPr>
      </w:pPr>
    </w:p>
    <w:p w:rsidR="008706D6" w:rsidRPr="005213D9" w:rsidP="008706D6">
      <w:pPr>
        <w:spacing w:after="0"/>
        <w:rPr>
          <w:rFonts w:ascii="Verdana" w:hAnsi="Verdana"/>
          <w:snapToGrid w:val="0"/>
          <w:color w:val="0C1B27" w:themeColor="text1" w:themeShade="80"/>
          <w:sz w:val="20"/>
          <w:szCs w:val="20"/>
        </w:rPr>
      </w:pPr>
      <w:r w:rsidRPr="005213D9">
        <w:rPr>
          <w:rFonts w:ascii="Verdana" w:hAnsi="Verdana"/>
          <w:snapToGrid w:val="0"/>
          <w:color w:val="0C1B27" w:themeColor="text1" w:themeShade="80"/>
          <w:sz w:val="20"/>
          <w:szCs w:val="20"/>
        </w:rPr>
        <w:t xml:space="preserve">The campaign to establish publicly available baseline information on </w:t>
      </w:r>
      <w:r w:rsidRPr="005213D9">
        <w:rPr>
          <w:rFonts w:ascii="Verdana" w:hAnsi="Verdana"/>
          <w:snapToGrid w:val="0"/>
          <w:color w:val="0C1B27" w:themeColor="text1" w:themeShade="80"/>
          <w:sz w:val="20"/>
          <w:szCs w:val="20"/>
        </w:rPr>
        <w:t>the incidence of Tailings Storage Facilities</w:t>
      </w:r>
      <w:r w:rsidRPr="005213D9">
        <w:rPr>
          <w:rFonts w:ascii="Verdana" w:hAnsi="Verdana"/>
          <w:snapToGrid w:val="0"/>
          <w:color w:val="0C1B27" w:themeColor="text1" w:themeShade="80"/>
          <w:sz w:val="20"/>
          <w:szCs w:val="20"/>
        </w:rPr>
        <w:t xml:space="preserve"> has escalated and is now </w:t>
      </w:r>
      <w:r w:rsidRPr="005213D9">
        <w:rPr>
          <w:rFonts w:ascii="Verdana" w:hAnsi="Verdana"/>
          <w:snapToGrid w:val="0"/>
          <w:color w:val="0C1B27" w:themeColor="text1" w:themeShade="80"/>
          <w:sz w:val="20"/>
          <w:szCs w:val="20"/>
        </w:rPr>
        <w:t xml:space="preserve">being </w:t>
      </w:r>
      <w:r w:rsidRPr="005213D9">
        <w:rPr>
          <w:rFonts w:ascii="Verdana" w:hAnsi="Verdana"/>
          <w:snapToGrid w:val="0"/>
          <w:color w:val="0C1B27" w:themeColor="text1" w:themeShade="80"/>
          <w:sz w:val="20"/>
          <w:szCs w:val="20"/>
        </w:rPr>
        <w:t xml:space="preserve">convened as The Investor Mining </w:t>
      </w:r>
      <w:r w:rsidRPr="005213D9">
        <w:rPr>
          <w:rFonts w:ascii="Verdana" w:hAnsi="Verdana"/>
          <w:snapToGrid w:val="0"/>
          <w:color w:val="0C1B27" w:themeColor="text1" w:themeShade="80"/>
          <w:sz w:val="20"/>
          <w:szCs w:val="20"/>
        </w:rPr>
        <w:t xml:space="preserve">&amp; Tailings Safety Initiative through a steering committee chaired by the Church of England Pensions Board and the Swedish Council on Ethics </w:t>
      </w:r>
      <w:r>
        <w:rPr>
          <w:rFonts w:ascii="Verdana" w:hAnsi="Verdana"/>
          <w:snapToGrid w:val="0"/>
          <w:color w:val="0C1B27" w:themeColor="text1" w:themeShade="80"/>
          <w:sz w:val="20"/>
          <w:szCs w:val="20"/>
        </w:rPr>
        <w:t>(</w:t>
      </w:r>
      <w:r w:rsidRPr="005213D9">
        <w:rPr>
          <w:rFonts w:ascii="Verdana" w:hAnsi="Verdana"/>
          <w:snapToGrid w:val="0"/>
          <w:color w:val="0C1B27" w:themeColor="text1" w:themeShade="80"/>
          <w:sz w:val="20"/>
          <w:szCs w:val="20"/>
        </w:rPr>
        <w:t>for the AP Funds</w:t>
      </w:r>
      <w:r>
        <w:rPr>
          <w:rFonts w:ascii="Verdana" w:hAnsi="Verdana"/>
          <w:snapToGrid w:val="0"/>
          <w:color w:val="0C1B27" w:themeColor="text1" w:themeShade="80"/>
          <w:sz w:val="20"/>
          <w:szCs w:val="20"/>
        </w:rPr>
        <w:t xml:space="preserve"> which make up the Swedish </w:t>
      </w:r>
      <w:r>
        <w:rPr>
          <w:rFonts w:ascii="Verdana" w:hAnsi="Verdana"/>
          <w:snapToGrid w:val="0"/>
          <w:color w:val="0C1B27" w:themeColor="text1" w:themeShade="80"/>
          <w:sz w:val="20"/>
          <w:szCs w:val="20"/>
        </w:rPr>
        <w:t>p</w:t>
      </w:r>
      <w:r>
        <w:rPr>
          <w:rFonts w:ascii="Verdana" w:hAnsi="Verdana"/>
          <w:snapToGrid w:val="0"/>
          <w:color w:val="0C1B27" w:themeColor="text1" w:themeShade="80"/>
          <w:sz w:val="20"/>
          <w:szCs w:val="20"/>
        </w:rPr>
        <w:t>ension system)</w:t>
      </w:r>
      <w:r w:rsidRPr="005213D9">
        <w:rPr>
          <w:rFonts w:ascii="Verdana" w:hAnsi="Verdana"/>
          <w:snapToGrid w:val="0"/>
          <w:color w:val="0C1B27" w:themeColor="text1" w:themeShade="80"/>
          <w:sz w:val="20"/>
          <w:szCs w:val="20"/>
        </w:rPr>
        <w:t>. The initiative is backed by the PRI, who, along with th</w:t>
      </w:r>
      <w:r w:rsidRPr="005213D9">
        <w:rPr>
          <w:rFonts w:ascii="Verdana" w:hAnsi="Verdana"/>
          <w:snapToGrid w:val="0"/>
          <w:color w:val="0C1B27" w:themeColor="text1" w:themeShade="80"/>
          <w:sz w:val="20"/>
          <w:szCs w:val="20"/>
        </w:rPr>
        <w:t xml:space="preserve">e International Council on Mining and Metals and United Nations Environment Programme (UNEP) have appointed Professor Bruno </w:t>
      </w:r>
      <w:r w:rsidRPr="005213D9">
        <w:rPr>
          <w:rFonts w:ascii="Verdana" w:hAnsi="Verdana"/>
          <w:snapToGrid w:val="0"/>
          <w:color w:val="0C1B27" w:themeColor="text1" w:themeShade="80"/>
          <w:sz w:val="20"/>
          <w:szCs w:val="20"/>
        </w:rPr>
        <w:t>Oberle</w:t>
      </w:r>
      <w:r w:rsidRPr="005213D9">
        <w:rPr>
          <w:rFonts w:ascii="Verdana" w:hAnsi="Verdana"/>
          <w:snapToGrid w:val="0"/>
          <w:color w:val="0C1B27" w:themeColor="text1" w:themeShade="80"/>
          <w:sz w:val="20"/>
          <w:szCs w:val="20"/>
        </w:rPr>
        <w:t xml:space="preserve"> as an Independent Chair to oversee a review aimed at establishing an international standard for tailings dams to improve the </w:t>
      </w:r>
      <w:r w:rsidRPr="005213D9">
        <w:rPr>
          <w:rFonts w:ascii="Verdana" w:hAnsi="Verdana"/>
          <w:snapToGrid w:val="0"/>
          <w:color w:val="0C1B27" w:themeColor="text1" w:themeShade="80"/>
          <w:sz w:val="20"/>
          <w:szCs w:val="20"/>
        </w:rPr>
        <w:t xml:space="preserve">safety of mine waste storage facilities across the world. </w:t>
      </w:r>
    </w:p>
    <w:p w:rsidR="00AB6B10" w:rsidP="008706D6">
      <w:pPr>
        <w:spacing w:after="0"/>
        <w:rPr>
          <w:rStyle w:val="Hyperlink"/>
        </w:rPr>
      </w:pPr>
    </w:p>
    <w:p w:rsidR="00DB502F" w:rsidRPr="00A026B2" w:rsidP="00A026B2">
      <w:pPr>
        <w:spacing w:after="0"/>
        <w:rPr>
          <w:rFonts w:ascii="Verdana" w:hAnsi="Verdana"/>
          <w:snapToGrid w:val="0"/>
          <w:color w:val="0C1B27" w:themeColor="text1" w:themeShade="80"/>
          <w:sz w:val="20"/>
          <w:szCs w:val="20"/>
        </w:rPr>
      </w:pPr>
      <w:r w:rsidRPr="00A026B2">
        <w:rPr>
          <w:rFonts w:ascii="Verdana" w:hAnsi="Verdana"/>
          <w:snapToGrid w:val="0"/>
          <w:color w:val="0C1B27" w:themeColor="text1" w:themeShade="80"/>
          <w:sz w:val="20"/>
          <w:szCs w:val="20"/>
        </w:rPr>
        <w:t>The review will establish an international standard for the safe management of tailings storage facilities that can be applied to all tailings dams wherever they are located and whoever operates them. Regular updates on the progress of the investor initiat</w:t>
      </w:r>
      <w:r w:rsidRPr="00A026B2">
        <w:rPr>
          <w:rFonts w:ascii="Verdana" w:hAnsi="Verdana"/>
          <w:snapToGrid w:val="0"/>
          <w:color w:val="0C1B27" w:themeColor="text1" w:themeShade="80"/>
          <w:sz w:val="20"/>
          <w:szCs w:val="20"/>
        </w:rPr>
        <w:t xml:space="preserve">ive </w:t>
      </w:r>
      <w:r>
        <w:rPr>
          <w:rFonts w:ascii="Verdana" w:hAnsi="Verdana"/>
          <w:snapToGrid w:val="0"/>
          <w:color w:val="0C1B27" w:themeColor="text1" w:themeShade="80"/>
          <w:sz w:val="20"/>
          <w:szCs w:val="20"/>
        </w:rPr>
        <w:t xml:space="preserve">are being provided and </w:t>
      </w:r>
      <w:r w:rsidRPr="00A026B2">
        <w:rPr>
          <w:rFonts w:ascii="Verdana" w:hAnsi="Verdana"/>
          <w:snapToGrid w:val="0"/>
          <w:color w:val="0C1B27" w:themeColor="text1" w:themeShade="80"/>
          <w:sz w:val="20"/>
          <w:szCs w:val="20"/>
        </w:rPr>
        <w:t xml:space="preserve">reportedly </w:t>
      </w:r>
      <w:r>
        <w:rPr>
          <w:rFonts w:ascii="Verdana" w:hAnsi="Verdana"/>
          <w:snapToGrid w:val="0"/>
          <w:color w:val="0C1B27" w:themeColor="text1" w:themeShade="80"/>
          <w:sz w:val="20"/>
          <w:szCs w:val="20"/>
        </w:rPr>
        <w:t>the programme is on the radar of</w:t>
      </w:r>
      <w:r w:rsidRPr="00A026B2">
        <w:rPr>
          <w:rFonts w:ascii="Verdana" w:hAnsi="Verdana"/>
          <w:snapToGrid w:val="0"/>
          <w:color w:val="0C1B27" w:themeColor="text1" w:themeShade="80"/>
          <w:sz w:val="20"/>
          <w:szCs w:val="20"/>
        </w:rPr>
        <w:t xml:space="preserve"> banks and insurers interested in </w:t>
      </w:r>
      <w:r>
        <w:rPr>
          <w:rFonts w:ascii="Verdana" w:hAnsi="Verdana"/>
          <w:snapToGrid w:val="0"/>
          <w:color w:val="0C1B27" w:themeColor="text1" w:themeShade="80"/>
          <w:sz w:val="20"/>
          <w:szCs w:val="20"/>
        </w:rPr>
        <w:t xml:space="preserve">the availability of </w:t>
      </w:r>
      <w:r w:rsidRPr="00A026B2">
        <w:rPr>
          <w:rFonts w:ascii="Verdana" w:hAnsi="Verdana"/>
          <w:snapToGrid w:val="0"/>
          <w:color w:val="0C1B27" w:themeColor="text1" w:themeShade="80"/>
          <w:sz w:val="20"/>
          <w:szCs w:val="20"/>
        </w:rPr>
        <w:t xml:space="preserve">improved data </w:t>
      </w:r>
      <w:r>
        <w:rPr>
          <w:rFonts w:ascii="Verdana" w:hAnsi="Verdana"/>
          <w:snapToGrid w:val="0"/>
          <w:color w:val="0C1B27" w:themeColor="text1" w:themeShade="80"/>
          <w:sz w:val="20"/>
          <w:szCs w:val="20"/>
        </w:rPr>
        <w:t xml:space="preserve">for </w:t>
      </w:r>
      <w:r w:rsidRPr="00A026B2">
        <w:rPr>
          <w:rFonts w:ascii="Verdana" w:hAnsi="Verdana"/>
          <w:snapToGrid w:val="0"/>
          <w:color w:val="0C1B27" w:themeColor="text1" w:themeShade="80"/>
          <w:sz w:val="20"/>
          <w:szCs w:val="20"/>
        </w:rPr>
        <w:t>risk</w:t>
      </w:r>
      <w:r>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quantifi</w:t>
      </w:r>
      <w:r>
        <w:rPr>
          <w:rFonts w:ascii="Verdana" w:hAnsi="Verdana"/>
          <w:snapToGrid w:val="0"/>
          <w:color w:val="0C1B27" w:themeColor="text1" w:themeShade="80"/>
          <w:sz w:val="20"/>
          <w:szCs w:val="20"/>
        </w:rPr>
        <w:t>cation</w:t>
      </w:r>
      <w:r w:rsidRPr="00A026B2">
        <w:rPr>
          <w:rFonts w:ascii="Verdana" w:hAnsi="Verdana"/>
          <w:snapToGrid w:val="0"/>
          <w:color w:val="0C1B27" w:themeColor="text1" w:themeShade="80"/>
          <w:sz w:val="20"/>
          <w:szCs w:val="20"/>
        </w:rPr>
        <w:t xml:space="preserve"> as a result of </w:t>
      </w:r>
      <w:r>
        <w:rPr>
          <w:rFonts w:ascii="Verdana" w:hAnsi="Verdana"/>
          <w:snapToGrid w:val="0"/>
          <w:color w:val="0C1B27" w:themeColor="text1" w:themeShade="80"/>
          <w:sz w:val="20"/>
          <w:szCs w:val="20"/>
        </w:rPr>
        <w:t xml:space="preserve">the </w:t>
      </w:r>
      <w:r w:rsidRPr="00A026B2">
        <w:rPr>
          <w:rFonts w:ascii="Verdana" w:hAnsi="Verdana"/>
          <w:snapToGrid w:val="0"/>
          <w:color w:val="0C1B27" w:themeColor="text1" w:themeShade="80"/>
          <w:sz w:val="20"/>
          <w:szCs w:val="20"/>
        </w:rPr>
        <w:t>increased disclosure</w:t>
      </w:r>
      <w:r>
        <w:rPr>
          <w:rFonts w:ascii="Verdana" w:hAnsi="Verdana"/>
          <w:snapToGrid w:val="0"/>
          <w:color w:val="0C1B27" w:themeColor="text1" w:themeShade="80"/>
          <w:sz w:val="20"/>
          <w:szCs w:val="20"/>
        </w:rPr>
        <w:t xml:space="preserve"> being sought</w:t>
      </w:r>
      <w:r w:rsidRPr="00A026B2">
        <w:rPr>
          <w:rFonts w:ascii="Verdana" w:hAnsi="Verdana"/>
          <w:snapToGrid w:val="0"/>
          <w:color w:val="0C1B27" w:themeColor="text1" w:themeShade="80"/>
          <w:sz w:val="20"/>
          <w:szCs w:val="20"/>
        </w:rPr>
        <w:t xml:space="preserve">. </w:t>
      </w:r>
    </w:p>
    <w:p w:rsidR="00DB502F" w:rsidP="00DB502F">
      <w:pPr>
        <w:pStyle w:val="LPPBodytext"/>
        <w:numPr>
          <w:ilvl w:val="0"/>
          <w:numId w:val="0"/>
        </w:numPr>
        <w:jc w:val="left"/>
        <w:rPr>
          <w:color w:val="0070C0"/>
          <w:szCs w:val="20"/>
        </w:rPr>
      </w:pPr>
    </w:p>
    <w:p w:rsidR="00DB502F" w:rsidRPr="00DB502F" w:rsidP="00DB502F">
      <w:pPr>
        <w:pStyle w:val="LPPBodytext"/>
        <w:numPr>
          <w:ilvl w:val="0"/>
          <w:numId w:val="0"/>
        </w:numPr>
        <w:jc w:val="left"/>
        <w:rPr>
          <w:color w:val="0070C0"/>
          <w:szCs w:val="20"/>
        </w:rPr>
      </w:pPr>
      <w:r w:rsidRPr="00DB502F">
        <w:rPr>
          <w:szCs w:val="20"/>
        </w:rPr>
        <w:t xml:space="preserve">Further information on the initiative is available here: </w:t>
      </w:r>
      <w:r>
        <w:fldChar w:fldCharType="begin"/>
      </w:r>
      <w:r>
        <w:instrText xml:space="preserve"> HYPERLINK "https://www.churchofengland.org/investor-mining-tailings-safety-initiative" </w:instrText>
      </w:r>
      <w:r>
        <w:fldChar w:fldCharType="separate"/>
      </w:r>
      <w:r w:rsidRPr="00DB502F">
        <w:rPr>
          <w:color w:val="0070C0"/>
          <w:szCs w:val="20"/>
        </w:rPr>
        <w:t>https://www.churchofengland.org/investor-mining-tailings-safety-initiative</w:t>
      </w:r>
      <w:r>
        <w:fldChar w:fldCharType="end"/>
      </w:r>
    </w:p>
    <w:p w:rsidR="008706D6" w:rsidRPr="00DB502F" w:rsidP="00DB502F">
      <w:pPr>
        <w:pStyle w:val="LPPBodytext"/>
        <w:numPr>
          <w:ilvl w:val="0"/>
          <w:numId w:val="0"/>
        </w:numPr>
        <w:rPr>
          <w:szCs w:val="20"/>
        </w:rPr>
      </w:pPr>
    </w:p>
    <w:p w:rsidR="00DE0A23" w:rsidRPr="00DB502F" w:rsidP="00DB502F">
      <w:pPr>
        <w:pStyle w:val="LPPBodytext"/>
        <w:numPr>
          <w:ilvl w:val="0"/>
          <w:numId w:val="0"/>
        </w:numPr>
        <w:rPr>
          <w:szCs w:val="20"/>
        </w:rPr>
      </w:pPr>
    </w:p>
    <w:p w:rsidR="00F0188F" w:rsidRPr="00F0188F" w:rsidP="00F0188F">
      <w:pPr>
        <w:rPr>
          <w:rFonts w:ascii="Verdana" w:hAnsi="Verdana" w:cs="Arial"/>
          <w:b/>
          <w:bCs/>
          <w:color w:val="183850" w:themeColor="text1"/>
          <w:sz w:val="20"/>
          <w:szCs w:val="20"/>
        </w:rPr>
      </w:pPr>
      <w:r w:rsidRPr="00F0188F">
        <w:rPr>
          <w:rFonts w:ascii="Verdana" w:hAnsi="Verdana" w:cs="Arial"/>
          <w:b/>
          <w:bCs/>
          <w:color w:val="183850" w:themeColor="text1"/>
          <w:sz w:val="20"/>
          <w:szCs w:val="20"/>
        </w:rPr>
        <w:t>Climate Action 100+</w:t>
      </w:r>
      <w:r>
        <w:rPr>
          <w:rFonts w:ascii="Verdana" w:hAnsi="Verdana" w:cs="Arial"/>
          <w:b/>
          <w:bCs/>
          <w:color w:val="183850" w:themeColor="text1"/>
          <w:sz w:val="20"/>
          <w:szCs w:val="20"/>
        </w:rPr>
        <w:t xml:space="preserve"> (Update)</w:t>
      </w:r>
    </w:p>
    <w:p w:rsidR="006067F4" w:rsidRPr="00A026B2" w:rsidP="006067F4">
      <w:pPr>
        <w:spacing w:after="0"/>
        <w:rPr>
          <w:rFonts w:ascii="Verdana" w:hAnsi="Verdana"/>
          <w:snapToGrid w:val="0"/>
          <w:color w:val="0C1B27" w:themeColor="text1" w:themeShade="80"/>
          <w:sz w:val="20"/>
          <w:szCs w:val="20"/>
        </w:rPr>
      </w:pPr>
      <w:r w:rsidRPr="00A026B2">
        <w:rPr>
          <w:rFonts w:ascii="Verdana" w:hAnsi="Verdana"/>
          <w:snapToGrid w:val="0"/>
          <w:color w:val="0C1B27" w:themeColor="text1" w:themeShade="80"/>
          <w:sz w:val="20"/>
          <w:szCs w:val="20"/>
        </w:rPr>
        <w:t xml:space="preserve">At its last meeting the Committee </w:t>
      </w:r>
      <w:r>
        <w:rPr>
          <w:rFonts w:ascii="Verdana" w:hAnsi="Verdana"/>
          <w:snapToGrid w:val="0"/>
          <w:color w:val="0C1B27" w:themeColor="text1" w:themeShade="80"/>
          <w:sz w:val="20"/>
          <w:szCs w:val="20"/>
        </w:rPr>
        <w:t>learned</w:t>
      </w:r>
      <w:r w:rsidRPr="00A026B2">
        <w:rPr>
          <w:rFonts w:ascii="Verdana" w:hAnsi="Verdana"/>
          <w:snapToGrid w:val="0"/>
          <w:color w:val="0C1B27" w:themeColor="text1" w:themeShade="80"/>
          <w:sz w:val="20"/>
          <w:szCs w:val="20"/>
        </w:rPr>
        <w:t xml:space="preserve"> that </w:t>
      </w:r>
      <w:r w:rsidRPr="00A026B2">
        <w:rPr>
          <w:rFonts w:ascii="Verdana" w:hAnsi="Verdana"/>
          <w:snapToGrid w:val="0"/>
          <w:color w:val="0C1B27" w:themeColor="text1" w:themeShade="80"/>
          <w:sz w:val="20"/>
          <w:szCs w:val="20"/>
        </w:rPr>
        <w:t xml:space="preserve">LPPI </w:t>
      </w:r>
      <w:r w:rsidRPr="00A026B2">
        <w:rPr>
          <w:rFonts w:ascii="Verdana" w:hAnsi="Verdana"/>
          <w:snapToGrid w:val="0"/>
          <w:color w:val="0C1B27" w:themeColor="text1" w:themeShade="80"/>
          <w:sz w:val="20"/>
          <w:szCs w:val="20"/>
        </w:rPr>
        <w:t xml:space="preserve">had </w:t>
      </w:r>
      <w:r w:rsidRPr="00A026B2">
        <w:rPr>
          <w:rFonts w:ascii="Verdana" w:hAnsi="Verdana"/>
          <w:snapToGrid w:val="0"/>
          <w:color w:val="0C1B27" w:themeColor="text1" w:themeShade="80"/>
          <w:sz w:val="20"/>
          <w:szCs w:val="20"/>
        </w:rPr>
        <w:t>co</w:t>
      </w:r>
      <w:r w:rsidRPr="00A026B2">
        <w:rPr>
          <w:rFonts w:ascii="Verdana" w:hAnsi="Verdana"/>
          <w:snapToGrid w:val="0"/>
          <w:color w:val="0C1B27" w:themeColor="text1" w:themeShade="80"/>
          <w:sz w:val="20"/>
          <w:szCs w:val="20"/>
        </w:rPr>
        <w:t>-</w:t>
      </w:r>
      <w:r w:rsidRPr="00A026B2">
        <w:rPr>
          <w:rFonts w:ascii="Verdana" w:hAnsi="Verdana"/>
          <w:snapToGrid w:val="0"/>
          <w:color w:val="0C1B27" w:themeColor="text1" w:themeShade="80"/>
          <w:sz w:val="20"/>
          <w:szCs w:val="20"/>
        </w:rPr>
        <w:t>file</w:t>
      </w:r>
      <w:r w:rsidRPr="00A026B2">
        <w:rPr>
          <w:rFonts w:ascii="Verdana" w:hAnsi="Verdana"/>
          <w:snapToGrid w:val="0"/>
          <w:color w:val="0C1B27" w:themeColor="text1" w:themeShade="80"/>
          <w:sz w:val="20"/>
          <w:szCs w:val="20"/>
        </w:rPr>
        <w:t>d</w:t>
      </w:r>
      <w:r w:rsidRPr="00A026B2">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 xml:space="preserve">its first </w:t>
      </w:r>
      <w:r w:rsidRPr="00A026B2">
        <w:rPr>
          <w:rFonts w:ascii="Verdana" w:hAnsi="Verdana"/>
          <w:snapToGrid w:val="0"/>
          <w:color w:val="0C1B27" w:themeColor="text1" w:themeShade="80"/>
          <w:sz w:val="20"/>
          <w:szCs w:val="20"/>
        </w:rPr>
        <w:t>shareholder proposal</w:t>
      </w:r>
      <w:r w:rsidRPr="00A026B2">
        <w:rPr>
          <w:rFonts w:ascii="Verdana" w:hAnsi="Verdana"/>
          <w:snapToGrid w:val="0"/>
          <w:color w:val="0C1B27" w:themeColor="text1" w:themeShade="80"/>
          <w:sz w:val="20"/>
          <w:szCs w:val="20"/>
        </w:rPr>
        <w:t xml:space="preserve"> at a company </w:t>
      </w:r>
      <w:r w:rsidRPr="00A026B2">
        <w:rPr>
          <w:rFonts w:ascii="Verdana" w:hAnsi="Verdana"/>
          <w:snapToGrid w:val="0"/>
          <w:color w:val="0C1B27" w:themeColor="text1" w:themeShade="80"/>
          <w:sz w:val="20"/>
          <w:szCs w:val="20"/>
        </w:rPr>
        <w:t xml:space="preserve">AGM, calling on </w:t>
      </w:r>
      <w:r w:rsidRPr="00A026B2">
        <w:rPr>
          <w:rFonts w:ascii="Verdana" w:hAnsi="Verdana"/>
          <w:snapToGrid w:val="0"/>
          <w:color w:val="0C1B27" w:themeColor="text1" w:themeShade="80"/>
          <w:sz w:val="20"/>
          <w:szCs w:val="20"/>
        </w:rPr>
        <w:t xml:space="preserve">Exxon Mobil </w:t>
      </w:r>
      <w:r w:rsidRPr="00A026B2">
        <w:rPr>
          <w:rFonts w:ascii="Verdana" w:hAnsi="Verdana"/>
          <w:snapToGrid w:val="0"/>
          <w:color w:val="0C1B27" w:themeColor="text1" w:themeShade="80"/>
          <w:sz w:val="20"/>
          <w:szCs w:val="20"/>
        </w:rPr>
        <w:t xml:space="preserve">to set short, medium, and long-term targets for emissions reductions in line with the Paris Agreement. </w:t>
      </w:r>
    </w:p>
    <w:p w:rsidR="00C810C0" w:rsidRPr="00A026B2" w:rsidP="00C810C0">
      <w:pPr>
        <w:spacing w:after="0"/>
        <w:rPr>
          <w:rFonts w:ascii="Verdana" w:hAnsi="Verdana"/>
          <w:snapToGrid w:val="0"/>
          <w:color w:val="0C1B27" w:themeColor="text1" w:themeShade="80"/>
          <w:sz w:val="20"/>
          <w:szCs w:val="20"/>
        </w:rPr>
      </w:pPr>
      <w:r w:rsidRPr="00A026B2">
        <w:rPr>
          <w:rFonts w:ascii="Verdana" w:hAnsi="Verdana"/>
          <w:snapToGrid w:val="0"/>
          <w:color w:val="0C1B27" w:themeColor="text1" w:themeShade="80"/>
          <w:sz w:val="20"/>
          <w:szCs w:val="20"/>
        </w:rPr>
        <w:t xml:space="preserve">LPP </w:t>
      </w:r>
      <w:r w:rsidRPr="00A026B2">
        <w:rPr>
          <w:rFonts w:ascii="Verdana" w:hAnsi="Verdana"/>
          <w:snapToGrid w:val="0"/>
          <w:color w:val="0C1B27" w:themeColor="text1" w:themeShade="80"/>
          <w:sz w:val="20"/>
          <w:szCs w:val="20"/>
        </w:rPr>
        <w:t>wa</w:t>
      </w:r>
      <w:r w:rsidRPr="00A026B2">
        <w:rPr>
          <w:rFonts w:ascii="Verdana" w:hAnsi="Verdana"/>
          <w:snapToGrid w:val="0"/>
          <w:color w:val="0C1B27" w:themeColor="text1" w:themeShade="80"/>
          <w:sz w:val="20"/>
          <w:szCs w:val="20"/>
        </w:rPr>
        <w:t xml:space="preserve">s one of </w:t>
      </w:r>
      <w:r w:rsidRPr="00A026B2">
        <w:rPr>
          <w:rFonts w:ascii="Verdana" w:hAnsi="Verdana"/>
          <w:snapToGrid w:val="0"/>
          <w:color w:val="0C1B27" w:themeColor="text1" w:themeShade="80"/>
          <w:sz w:val="20"/>
          <w:szCs w:val="20"/>
        </w:rPr>
        <w:t>30+ investors who co-ordinated to co-file</w:t>
      </w:r>
      <w:r>
        <w:rPr>
          <w:rFonts w:ascii="Verdana" w:hAnsi="Verdana"/>
          <w:snapToGrid w:val="0"/>
          <w:color w:val="0C1B27" w:themeColor="text1" w:themeShade="80"/>
          <w:sz w:val="20"/>
          <w:szCs w:val="20"/>
        </w:rPr>
        <w:t xml:space="preserve"> the proposal</w:t>
      </w:r>
      <w:r w:rsidRPr="00A026B2">
        <w:rPr>
          <w:rFonts w:ascii="Verdana" w:hAnsi="Verdana"/>
          <w:snapToGrid w:val="0"/>
          <w:color w:val="0C1B27" w:themeColor="text1" w:themeShade="80"/>
          <w:sz w:val="20"/>
          <w:szCs w:val="20"/>
        </w:rPr>
        <w:t>.</w:t>
      </w:r>
    </w:p>
    <w:p w:rsidR="00DE0A23" w:rsidRPr="00A026B2" w:rsidP="00C857CD">
      <w:pPr>
        <w:spacing w:after="0"/>
        <w:jc w:val="both"/>
        <w:rPr>
          <w:rFonts w:ascii="Verdana" w:hAnsi="Verdana"/>
          <w:snapToGrid w:val="0"/>
          <w:color w:val="0C1B27" w:themeColor="text1" w:themeShade="80"/>
          <w:sz w:val="20"/>
          <w:szCs w:val="20"/>
        </w:rPr>
      </w:pPr>
    </w:p>
    <w:p w:rsidR="005C0FDA" w:rsidRPr="00A026B2" w:rsidP="00C857CD">
      <w:pPr>
        <w:spacing w:after="0"/>
        <w:jc w:val="both"/>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It wa</w:t>
      </w:r>
      <w:r w:rsidRPr="00A026B2">
        <w:rPr>
          <w:rFonts w:ascii="Verdana" w:hAnsi="Verdana"/>
          <w:snapToGrid w:val="0"/>
          <w:color w:val="0C1B27" w:themeColor="text1" w:themeShade="80"/>
          <w:sz w:val="20"/>
          <w:szCs w:val="20"/>
        </w:rPr>
        <w:t>s outlined</w:t>
      </w:r>
      <w:r>
        <w:rPr>
          <w:rFonts w:ascii="Verdana" w:hAnsi="Verdana"/>
          <w:snapToGrid w:val="0"/>
          <w:color w:val="0C1B27" w:themeColor="text1" w:themeShade="80"/>
          <w:sz w:val="20"/>
          <w:szCs w:val="20"/>
        </w:rPr>
        <w:t xml:space="preserve"> that</w:t>
      </w:r>
      <w:r w:rsidRPr="00A026B2">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 xml:space="preserve">Exxon </w:t>
      </w:r>
      <w:r>
        <w:rPr>
          <w:rFonts w:ascii="Verdana" w:hAnsi="Verdana"/>
          <w:snapToGrid w:val="0"/>
          <w:color w:val="0C1B27" w:themeColor="text1" w:themeShade="80"/>
          <w:sz w:val="20"/>
          <w:szCs w:val="20"/>
        </w:rPr>
        <w:t xml:space="preserve">was </w:t>
      </w:r>
      <w:r w:rsidRPr="00A026B2">
        <w:rPr>
          <w:rFonts w:ascii="Verdana" w:hAnsi="Verdana"/>
          <w:snapToGrid w:val="0"/>
          <w:color w:val="0C1B27" w:themeColor="text1" w:themeShade="80"/>
          <w:sz w:val="20"/>
          <w:szCs w:val="20"/>
        </w:rPr>
        <w:t>utilis</w:t>
      </w:r>
      <w:r>
        <w:rPr>
          <w:rFonts w:ascii="Verdana" w:hAnsi="Verdana"/>
          <w:snapToGrid w:val="0"/>
          <w:color w:val="0C1B27" w:themeColor="text1" w:themeShade="80"/>
          <w:sz w:val="20"/>
          <w:szCs w:val="20"/>
        </w:rPr>
        <w:t>ing</w:t>
      </w:r>
      <w:r w:rsidRPr="00A026B2">
        <w:rPr>
          <w:rFonts w:ascii="Verdana" w:hAnsi="Verdana"/>
          <w:snapToGrid w:val="0"/>
          <w:color w:val="0C1B27" w:themeColor="text1" w:themeShade="80"/>
          <w:sz w:val="20"/>
          <w:szCs w:val="20"/>
        </w:rPr>
        <w:t xml:space="preserve"> a process overseen by </w:t>
      </w:r>
      <w:r w:rsidRPr="00A026B2">
        <w:rPr>
          <w:rFonts w:ascii="Verdana" w:hAnsi="Verdana"/>
          <w:snapToGrid w:val="0"/>
          <w:color w:val="0C1B27" w:themeColor="text1" w:themeShade="80"/>
          <w:sz w:val="20"/>
          <w:szCs w:val="20"/>
        </w:rPr>
        <w:t xml:space="preserve">the Securities and Exchange Commission </w:t>
      </w:r>
      <w:r w:rsidRPr="00A026B2">
        <w:rPr>
          <w:rFonts w:ascii="Verdana" w:hAnsi="Verdana"/>
          <w:snapToGrid w:val="0"/>
          <w:color w:val="0C1B27" w:themeColor="text1" w:themeShade="80"/>
          <w:sz w:val="20"/>
          <w:szCs w:val="20"/>
        </w:rPr>
        <w:t xml:space="preserve">(SEC) </w:t>
      </w:r>
      <w:r w:rsidRPr="00A026B2">
        <w:rPr>
          <w:rFonts w:ascii="Verdana" w:hAnsi="Verdana"/>
          <w:snapToGrid w:val="0"/>
          <w:color w:val="0C1B27" w:themeColor="text1" w:themeShade="80"/>
          <w:sz w:val="20"/>
          <w:szCs w:val="20"/>
        </w:rPr>
        <w:t>seek</w:t>
      </w:r>
      <w:r>
        <w:rPr>
          <w:rFonts w:ascii="Verdana" w:hAnsi="Verdana"/>
          <w:snapToGrid w:val="0"/>
          <w:color w:val="0C1B27" w:themeColor="text1" w:themeShade="80"/>
          <w:sz w:val="20"/>
          <w:szCs w:val="20"/>
        </w:rPr>
        <w:t>ing</w:t>
      </w:r>
      <w:r w:rsidRPr="00A026B2">
        <w:rPr>
          <w:rFonts w:ascii="Verdana" w:hAnsi="Verdana"/>
          <w:snapToGrid w:val="0"/>
          <w:color w:val="0C1B27" w:themeColor="text1" w:themeShade="80"/>
          <w:sz w:val="20"/>
          <w:szCs w:val="20"/>
        </w:rPr>
        <w:t xml:space="preserve"> not to table the proposal</w:t>
      </w:r>
      <w:r w:rsidRPr="00A026B2">
        <w:rPr>
          <w:rFonts w:ascii="Verdana" w:hAnsi="Verdana"/>
          <w:snapToGrid w:val="0"/>
          <w:color w:val="0C1B27" w:themeColor="text1" w:themeShade="80"/>
          <w:sz w:val="20"/>
          <w:szCs w:val="20"/>
        </w:rPr>
        <w:t xml:space="preserve"> at the AGM</w:t>
      </w:r>
      <w:r>
        <w:rPr>
          <w:rFonts w:ascii="Verdana" w:hAnsi="Verdana"/>
          <w:snapToGrid w:val="0"/>
          <w:color w:val="0C1B27" w:themeColor="text1" w:themeShade="80"/>
          <w:sz w:val="20"/>
          <w:szCs w:val="20"/>
        </w:rPr>
        <w:t>.</w:t>
      </w:r>
      <w:r w:rsidRPr="00A026B2">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U</w:t>
      </w:r>
      <w:r w:rsidRPr="00A026B2">
        <w:rPr>
          <w:rFonts w:ascii="Verdana" w:hAnsi="Verdana"/>
          <w:snapToGrid w:val="0"/>
          <w:color w:val="0C1B27" w:themeColor="text1" w:themeShade="80"/>
          <w:sz w:val="20"/>
          <w:szCs w:val="20"/>
        </w:rPr>
        <w:t xml:space="preserve">ltimately this </w:t>
      </w:r>
      <w:r w:rsidRPr="00A026B2">
        <w:rPr>
          <w:rFonts w:ascii="Verdana" w:hAnsi="Verdana"/>
          <w:snapToGrid w:val="0"/>
          <w:color w:val="0C1B27" w:themeColor="text1" w:themeShade="80"/>
          <w:sz w:val="20"/>
          <w:szCs w:val="20"/>
        </w:rPr>
        <w:t xml:space="preserve">move </w:t>
      </w:r>
      <w:r w:rsidRPr="00A026B2">
        <w:rPr>
          <w:rFonts w:ascii="Verdana" w:hAnsi="Verdana"/>
          <w:snapToGrid w:val="0"/>
          <w:color w:val="0C1B27" w:themeColor="text1" w:themeShade="80"/>
          <w:sz w:val="20"/>
          <w:szCs w:val="20"/>
        </w:rPr>
        <w:t xml:space="preserve">was successful – the </w:t>
      </w:r>
      <w:r w:rsidRPr="00A026B2">
        <w:rPr>
          <w:rFonts w:ascii="Verdana" w:hAnsi="Verdana"/>
          <w:snapToGrid w:val="0"/>
          <w:color w:val="0C1B27" w:themeColor="text1" w:themeShade="80"/>
          <w:sz w:val="20"/>
          <w:szCs w:val="20"/>
        </w:rPr>
        <w:t>proposal did not make it onto the ballot paper</w:t>
      </w:r>
      <w:r w:rsidRPr="00A026B2">
        <w:rPr>
          <w:rFonts w:ascii="Verdana" w:hAnsi="Verdana"/>
          <w:snapToGrid w:val="0"/>
          <w:color w:val="0C1B27" w:themeColor="text1" w:themeShade="80"/>
          <w:sz w:val="20"/>
          <w:szCs w:val="20"/>
        </w:rPr>
        <w:t xml:space="preserve"> for the AGM on 29 May 2019</w:t>
      </w:r>
      <w:r w:rsidRPr="00A026B2">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after </w:t>
      </w:r>
      <w:r w:rsidRPr="00A026B2">
        <w:rPr>
          <w:rFonts w:ascii="Verdana" w:hAnsi="Verdana"/>
          <w:snapToGrid w:val="0"/>
          <w:color w:val="0C1B27" w:themeColor="text1" w:themeShade="80"/>
          <w:sz w:val="20"/>
          <w:szCs w:val="20"/>
        </w:rPr>
        <w:t xml:space="preserve">the argument </w:t>
      </w:r>
      <w:r>
        <w:rPr>
          <w:rFonts w:ascii="Verdana" w:hAnsi="Verdana"/>
          <w:snapToGrid w:val="0"/>
          <w:color w:val="0C1B27" w:themeColor="text1" w:themeShade="80"/>
          <w:sz w:val="20"/>
          <w:szCs w:val="20"/>
        </w:rPr>
        <w:t xml:space="preserve">was </w:t>
      </w:r>
      <w:r>
        <w:rPr>
          <w:rFonts w:ascii="Verdana" w:hAnsi="Verdana"/>
          <w:snapToGrid w:val="0"/>
          <w:color w:val="0C1B27" w:themeColor="text1" w:themeShade="80"/>
          <w:sz w:val="20"/>
          <w:szCs w:val="20"/>
        </w:rPr>
        <w:t>accepted</w:t>
      </w:r>
      <w:r>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 xml:space="preserve">that </w:t>
      </w:r>
      <w:r w:rsidRPr="00A026B2">
        <w:rPr>
          <w:rFonts w:ascii="Verdana" w:hAnsi="Verdana"/>
          <w:snapToGrid w:val="0"/>
          <w:color w:val="0C1B27" w:themeColor="text1" w:themeShade="80"/>
          <w:sz w:val="20"/>
          <w:szCs w:val="20"/>
        </w:rPr>
        <w:t>it could be interpreted as seeking to micro-manage the company</w:t>
      </w:r>
      <w:r w:rsidRPr="00A026B2">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Th</w:t>
      </w:r>
      <w:r>
        <w:rPr>
          <w:rFonts w:ascii="Verdana" w:hAnsi="Verdana"/>
          <w:snapToGrid w:val="0"/>
          <w:color w:val="0C1B27" w:themeColor="text1" w:themeShade="80"/>
          <w:sz w:val="20"/>
          <w:szCs w:val="20"/>
        </w:rPr>
        <w:t xml:space="preserve">e SEC judgement </w:t>
      </w:r>
      <w:r>
        <w:rPr>
          <w:rFonts w:ascii="Verdana" w:hAnsi="Verdana"/>
          <w:snapToGrid w:val="0"/>
          <w:color w:val="0C1B27" w:themeColor="text1" w:themeShade="80"/>
          <w:sz w:val="20"/>
          <w:szCs w:val="20"/>
        </w:rPr>
        <w:t>was despite receiving additional representation from shareholde</w:t>
      </w:r>
      <w:r>
        <w:rPr>
          <w:rFonts w:ascii="Verdana" w:hAnsi="Verdana"/>
          <w:snapToGrid w:val="0"/>
          <w:color w:val="0C1B27" w:themeColor="text1" w:themeShade="80"/>
          <w:sz w:val="20"/>
          <w:szCs w:val="20"/>
        </w:rPr>
        <w:t xml:space="preserve">rs </w:t>
      </w:r>
      <w:r>
        <w:rPr>
          <w:rFonts w:ascii="Verdana" w:hAnsi="Verdana"/>
          <w:snapToGrid w:val="0"/>
          <w:color w:val="0C1B27" w:themeColor="text1" w:themeShade="80"/>
          <w:sz w:val="20"/>
          <w:szCs w:val="20"/>
        </w:rPr>
        <w:t xml:space="preserve">(including LPP) who were </w:t>
      </w:r>
      <w:r>
        <w:rPr>
          <w:rFonts w:ascii="Verdana" w:hAnsi="Verdana"/>
          <w:snapToGrid w:val="0"/>
          <w:color w:val="0C1B27" w:themeColor="text1" w:themeShade="80"/>
          <w:sz w:val="20"/>
          <w:szCs w:val="20"/>
        </w:rPr>
        <w:t>supportive of the resolution.</w:t>
      </w:r>
    </w:p>
    <w:p w:rsidR="00F81B73" w:rsidP="005C0FDA">
      <w:pPr>
        <w:spacing w:after="0"/>
        <w:jc w:val="both"/>
        <w:rPr>
          <w:rFonts w:ascii="Verdana" w:hAnsi="Verdana"/>
          <w:snapToGrid w:val="0"/>
          <w:color w:val="0C1B27" w:themeColor="text1" w:themeShade="80"/>
          <w:sz w:val="20"/>
          <w:szCs w:val="20"/>
        </w:rPr>
      </w:pPr>
    </w:p>
    <w:p w:rsidR="00D865A4" w:rsidRPr="00A026B2" w:rsidP="005C0FDA">
      <w:pPr>
        <w:spacing w:after="0"/>
        <w:jc w:val="both"/>
        <w:rPr>
          <w:rFonts w:ascii="Verdana" w:hAnsi="Verdana"/>
          <w:snapToGrid w:val="0"/>
          <w:color w:val="0C1B27" w:themeColor="text1" w:themeShade="80"/>
          <w:sz w:val="20"/>
          <w:szCs w:val="20"/>
        </w:rPr>
      </w:pPr>
      <w:r w:rsidRPr="00A026B2">
        <w:rPr>
          <w:rFonts w:ascii="Verdana" w:hAnsi="Verdana"/>
          <w:snapToGrid w:val="0"/>
          <w:color w:val="0C1B27" w:themeColor="text1" w:themeShade="80"/>
          <w:sz w:val="20"/>
          <w:szCs w:val="20"/>
        </w:rPr>
        <w:t xml:space="preserve">A war of words </w:t>
      </w:r>
      <w:r>
        <w:rPr>
          <w:rFonts w:ascii="Verdana" w:hAnsi="Verdana"/>
          <w:snapToGrid w:val="0"/>
          <w:color w:val="0C1B27" w:themeColor="text1" w:themeShade="80"/>
          <w:sz w:val="20"/>
          <w:szCs w:val="20"/>
        </w:rPr>
        <w:t>between Exxon and the proposers has</w:t>
      </w:r>
      <w:r w:rsidRPr="00A026B2">
        <w:rPr>
          <w:rFonts w:ascii="Verdana" w:hAnsi="Verdana"/>
          <w:snapToGrid w:val="0"/>
          <w:color w:val="0C1B27" w:themeColor="text1" w:themeShade="80"/>
          <w:sz w:val="20"/>
          <w:szCs w:val="20"/>
        </w:rPr>
        <w:t xml:space="preserve"> ensued, with the two funds who led the co-filing </w:t>
      </w:r>
      <w:r w:rsidRPr="00A026B2">
        <w:rPr>
          <w:rFonts w:ascii="Verdana" w:hAnsi="Verdana"/>
          <w:snapToGrid w:val="0"/>
          <w:color w:val="0C1B27" w:themeColor="text1" w:themeShade="80"/>
          <w:sz w:val="20"/>
          <w:szCs w:val="20"/>
        </w:rPr>
        <w:t>(the Church Commissioners for England, and New York State Common Retirement Fund)</w:t>
      </w:r>
      <w:r>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utilis</w:t>
      </w:r>
      <w:r>
        <w:rPr>
          <w:rFonts w:ascii="Verdana" w:hAnsi="Verdana"/>
          <w:snapToGrid w:val="0"/>
          <w:color w:val="0C1B27" w:themeColor="text1" w:themeShade="80"/>
          <w:sz w:val="20"/>
          <w:szCs w:val="20"/>
        </w:rPr>
        <w:t>ing</w:t>
      </w:r>
      <w:r w:rsidRPr="00A026B2">
        <w:rPr>
          <w:rFonts w:ascii="Verdana" w:hAnsi="Verdana"/>
          <w:snapToGrid w:val="0"/>
          <w:color w:val="0C1B27" w:themeColor="text1" w:themeShade="80"/>
          <w:sz w:val="20"/>
          <w:szCs w:val="20"/>
        </w:rPr>
        <w:t xml:space="preserve"> a process called exempt solicitation to publicly share thoughts on the engagement process (and their </w:t>
      </w:r>
      <w:r>
        <w:rPr>
          <w:rFonts w:ascii="Verdana" w:hAnsi="Verdana"/>
          <w:snapToGrid w:val="0"/>
          <w:color w:val="0C1B27" w:themeColor="text1" w:themeShade="80"/>
          <w:sz w:val="20"/>
          <w:szCs w:val="20"/>
        </w:rPr>
        <w:t xml:space="preserve">AGM </w:t>
      </w:r>
      <w:r w:rsidRPr="00A026B2">
        <w:rPr>
          <w:rFonts w:ascii="Verdana" w:hAnsi="Verdana"/>
          <w:snapToGrid w:val="0"/>
          <w:color w:val="0C1B27" w:themeColor="text1" w:themeShade="80"/>
          <w:sz w:val="20"/>
          <w:szCs w:val="20"/>
        </w:rPr>
        <w:t xml:space="preserve">voting intentions) with other shareholders via </w:t>
      </w:r>
      <w:r w:rsidRPr="00A026B2">
        <w:rPr>
          <w:rFonts w:ascii="Verdana" w:hAnsi="Verdana"/>
          <w:snapToGrid w:val="0"/>
          <w:color w:val="0C1B27" w:themeColor="text1" w:themeShade="80"/>
          <w:sz w:val="20"/>
          <w:szCs w:val="20"/>
        </w:rPr>
        <w:t xml:space="preserve">documents </w:t>
      </w:r>
      <w:r>
        <w:rPr>
          <w:rFonts w:ascii="Verdana" w:hAnsi="Verdana"/>
          <w:snapToGrid w:val="0"/>
          <w:color w:val="0C1B27" w:themeColor="text1" w:themeShade="80"/>
          <w:sz w:val="20"/>
          <w:szCs w:val="20"/>
        </w:rPr>
        <w:t xml:space="preserve">formally </w:t>
      </w:r>
      <w:r w:rsidRPr="00A026B2">
        <w:rPr>
          <w:rFonts w:ascii="Verdana" w:hAnsi="Verdana"/>
          <w:snapToGrid w:val="0"/>
          <w:color w:val="0C1B27" w:themeColor="text1" w:themeShade="80"/>
          <w:sz w:val="20"/>
          <w:szCs w:val="20"/>
        </w:rPr>
        <w:t xml:space="preserve">published on </w:t>
      </w:r>
      <w:r w:rsidRPr="00A026B2">
        <w:rPr>
          <w:rFonts w:ascii="Verdana" w:hAnsi="Verdana"/>
          <w:snapToGrid w:val="0"/>
          <w:color w:val="0C1B27" w:themeColor="text1" w:themeShade="80"/>
          <w:sz w:val="20"/>
          <w:szCs w:val="20"/>
        </w:rPr>
        <w:t>the SEC website</w:t>
      </w:r>
      <w:r w:rsidRPr="00A026B2">
        <w:rPr>
          <w:rFonts w:ascii="Verdana" w:hAnsi="Verdana"/>
          <w:snapToGrid w:val="0"/>
          <w:color w:val="0C1B27" w:themeColor="text1" w:themeShade="80"/>
          <w:sz w:val="20"/>
          <w:szCs w:val="20"/>
        </w:rPr>
        <w:t>.</w:t>
      </w:r>
      <w:r w:rsidRPr="00A026B2">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The proponents made a</w:t>
      </w:r>
      <w:r w:rsidRPr="00A026B2">
        <w:rPr>
          <w:rFonts w:ascii="Verdana" w:hAnsi="Verdana"/>
          <w:snapToGrid w:val="0"/>
          <w:color w:val="0C1B27" w:themeColor="text1" w:themeShade="80"/>
          <w:sz w:val="20"/>
          <w:szCs w:val="20"/>
        </w:rPr>
        <w:t xml:space="preserve"> case for voting against all memb</w:t>
      </w:r>
      <w:r w:rsidRPr="00A026B2">
        <w:rPr>
          <w:rFonts w:ascii="Verdana" w:hAnsi="Verdana"/>
          <w:snapToGrid w:val="0"/>
          <w:color w:val="0C1B27" w:themeColor="text1" w:themeShade="80"/>
          <w:sz w:val="20"/>
          <w:szCs w:val="20"/>
        </w:rPr>
        <w:t xml:space="preserve">ers of the </w:t>
      </w:r>
      <w:r>
        <w:rPr>
          <w:rFonts w:ascii="Verdana" w:hAnsi="Verdana"/>
          <w:snapToGrid w:val="0"/>
          <w:color w:val="0C1B27" w:themeColor="text1" w:themeShade="80"/>
          <w:sz w:val="20"/>
          <w:szCs w:val="20"/>
        </w:rPr>
        <w:t xml:space="preserve">Exxon </w:t>
      </w:r>
      <w:r w:rsidRPr="00A026B2">
        <w:rPr>
          <w:rFonts w:ascii="Verdana" w:hAnsi="Verdana"/>
          <w:snapToGrid w:val="0"/>
          <w:color w:val="0C1B27" w:themeColor="text1" w:themeShade="80"/>
          <w:sz w:val="20"/>
          <w:szCs w:val="20"/>
        </w:rPr>
        <w:t xml:space="preserve">Board </w:t>
      </w:r>
      <w:r>
        <w:rPr>
          <w:rFonts w:ascii="Verdana" w:hAnsi="Verdana"/>
          <w:snapToGrid w:val="0"/>
          <w:color w:val="0C1B27" w:themeColor="text1" w:themeShade="80"/>
          <w:sz w:val="20"/>
          <w:szCs w:val="20"/>
        </w:rPr>
        <w:t>as a signal of significant concern</w:t>
      </w:r>
      <w:r>
        <w:rPr>
          <w:rFonts w:ascii="Verdana" w:hAnsi="Verdana"/>
          <w:snapToGrid w:val="0"/>
          <w:color w:val="0C1B27" w:themeColor="text1" w:themeShade="80"/>
          <w:sz w:val="20"/>
          <w:szCs w:val="20"/>
        </w:rPr>
        <w:t>s</w:t>
      </w:r>
      <w:r>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 xml:space="preserve">and </w:t>
      </w:r>
      <w:r>
        <w:rPr>
          <w:rFonts w:ascii="Verdana" w:hAnsi="Verdana"/>
          <w:snapToGrid w:val="0"/>
          <w:color w:val="0C1B27" w:themeColor="text1" w:themeShade="80"/>
          <w:sz w:val="20"/>
          <w:szCs w:val="20"/>
        </w:rPr>
        <w:t xml:space="preserve">for </w:t>
      </w:r>
      <w:r w:rsidRPr="00A026B2">
        <w:rPr>
          <w:rFonts w:ascii="Verdana" w:hAnsi="Verdana"/>
          <w:snapToGrid w:val="0"/>
          <w:color w:val="0C1B27" w:themeColor="text1" w:themeShade="80"/>
          <w:sz w:val="20"/>
          <w:szCs w:val="20"/>
        </w:rPr>
        <w:t xml:space="preserve">supporting </w:t>
      </w:r>
      <w:r>
        <w:rPr>
          <w:rFonts w:ascii="Verdana" w:hAnsi="Verdana"/>
          <w:snapToGrid w:val="0"/>
          <w:color w:val="0C1B27" w:themeColor="text1" w:themeShade="80"/>
          <w:sz w:val="20"/>
          <w:szCs w:val="20"/>
        </w:rPr>
        <w:t>other</w:t>
      </w:r>
      <w:r w:rsidRPr="00A026B2">
        <w:rPr>
          <w:rFonts w:ascii="Verdana" w:hAnsi="Verdana"/>
          <w:snapToGrid w:val="0"/>
          <w:color w:val="0C1B27" w:themeColor="text1" w:themeShade="80"/>
          <w:sz w:val="20"/>
          <w:szCs w:val="20"/>
        </w:rPr>
        <w:t xml:space="preserve"> shareholder proposals </w:t>
      </w:r>
      <w:r>
        <w:rPr>
          <w:rFonts w:ascii="Verdana" w:hAnsi="Verdana"/>
          <w:snapToGrid w:val="0"/>
          <w:color w:val="0C1B27" w:themeColor="text1" w:themeShade="80"/>
          <w:sz w:val="20"/>
          <w:szCs w:val="20"/>
        </w:rPr>
        <w:t>feature</w:t>
      </w:r>
      <w:r>
        <w:rPr>
          <w:rFonts w:ascii="Verdana" w:hAnsi="Verdana"/>
          <w:snapToGrid w:val="0"/>
          <w:color w:val="0C1B27" w:themeColor="text1" w:themeShade="80"/>
          <w:sz w:val="20"/>
          <w:szCs w:val="20"/>
        </w:rPr>
        <w:t>d</w:t>
      </w:r>
      <w:r>
        <w:rPr>
          <w:rFonts w:ascii="Verdana" w:hAnsi="Verdana"/>
          <w:snapToGrid w:val="0"/>
          <w:color w:val="0C1B27" w:themeColor="text1" w:themeShade="80"/>
          <w:sz w:val="20"/>
          <w:szCs w:val="20"/>
        </w:rPr>
        <w:t xml:space="preserve"> on </w:t>
      </w:r>
      <w:r w:rsidRPr="00A026B2">
        <w:rPr>
          <w:rFonts w:ascii="Verdana" w:hAnsi="Verdana"/>
          <w:snapToGrid w:val="0"/>
          <w:color w:val="0C1B27" w:themeColor="text1" w:themeShade="80"/>
          <w:sz w:val="20"/>
          <w:szCs w:val="20"/>
        </w:rPr>
        <w:t>the ballot</w:t>
      </w:r>
      <w:r>
        <w:rPr>
          <w:rFonts w:ascii="Verdana" w:hAnsi="Verdana"/>
          <w:snapToGrid w:val="0"/>
          <w:color w:val="0C1B27" w:themeColor="text1" w:themeShade="80"/>
          <w:sz w:val="20"/>
          <w:szCs w:val="20"/>
        </w:rPr>
        <w:t xml:space="preserve"> (which </w:t>
      </w:r>
      <w:r w:rsidRPr="00A026B2">
        <w:rPr>
          <w:rFonts w:ascii="Verdana" w:hAnsi="Verdana"/>
          <w:snapToGrid w:val="0"/>
          <w:color w:val="0C1B27" w:themeColor="text1" w:themeShade="80"/>
          <w:sz w:val="20"/>
          <w:szCs w:val="20"/>
        </w:rPr>
        <w:t>include</w:t>
      </w:r>
      <w:r>
        <w:rPr>
          <w:rFonts w:ascii="Verdana" w:hAnsi="Verdana"/>
          <w:snapToGrid w:val="0"/>
          <w:color w:val="0C1B27" w:themeColor="text1" w:themeShade="80"/>
          <w:sz w:val="20"/>
          <w:szCs w:val="20"/>
        </w:rPr>
        <w:t>d</w:t>
      </w:r>
      <w:r w:rsidRPr="00A026B2">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 xml:space="preserve">separating the role of CEO and </w:t>
      </w:r>
      <w:r w:rsidRPr="00A026B2">
        <w:rPr>
          <w:rFonts w:ascii="Verdana" w:hAnsi="Verdana"/>
          <w:snapToGrid w:val="0"/>
          <w:color w:val="0C1B27" w:themeColor="text1" w:themeShade="80"/>
          <w:sz w:val="20"/>
          <w:szCs w:val="20"/>
        </w:rPr>
        <w:t>Chairman</w:t>
      </w:r>
      <w:r>
        <w:rPr>
          <w:rFonts w:ascii="Verdana" w:hAnsi="Verdana"/>
          <w:snapToGrid w:val="0"/>
          <w:color w:val="0C1B27" w:themeColor="text1" w:themeShade="80"/>
          <w:sz w:val="20"/>
          <w:szCs w:val="20"/>
        </w:rPr>
        <w:t xml:space="preserve"> </w:t>
      </w:r>
      <w:r w:rsidRPr="00A026B2">
        <w:rPr>
          <w:rFonts w:ascii="Verdana" w:hAnsi="Verdana"/>
          <w:snapToGrid w:val="0"/>
          <w:color w:val="0C1B27" w:themeColor="text1" w:themeShade="80"/>
          <w:sz w:val="20"/>
          <w:szCs w:val="20"/>
        </w:rPr>
        <w:t>a</w:t>
      </w:r>
      <w:r w:rsidRPr="00A026B2">
        <w:rPr>
          <w:rFonts w:ascii="Verdana" w:hAnsi="Verdana"/>
          <w:snapToGrid w:val="0"/>
          <w:color w:val="0C1B27" w:themeColor="text1" w:themeShade="80"/>
          <w:sz w:val="20"/>
          <w:szCs w:val="20"/>
        </w:rPr>
        <w:t>nd establishing a</w:t>
      </w:r>
      <w:r w:rsidRPr="00A026B2">
        <w:rPr>
          <w:rFonts w:ascii="Verdana" w:hAnsi="Verdana"/>
          <w:snapToGrid w:val="0"/>
          <w:color w:val="0C1B27" w:themeColor="text1" w:themeShade="80"/>
          <w:sz w:val="20"/>
          <w:szCs w:val="20"/>
        </w:rPr>
        <w:t xml:space="preserve"> new Board Committee on Climate Change to evaluate Exxon Mobil’s strategic vision and response to climate change</w:t>
      </w:r>
      <w:r>
        <w:rPr>
          <w:rFonts w:ascii="Verdana" w:hAnsi="Verdana"/>
          <w:snapToGrid w:val="0"/>
          <w:color w:val="0C1B27" w:themeColor="text1" w:themeShade="80"/>
          <w:sz w:val="20"/>
          <w:szCs w:val="20"/>
        </w:rPr>
        <w:t>)</w:t>
      </w:r>
      <w:r w:rsidRPr="00A026B2">
        <w:rPr>
          <w:rFonts w:ascii="Verdana" w:hAnsi="Verdana"/>
          <w:snapToGrid w:val="0"/>
          <w:color w:val="0C1B27" w:themeColor="text1" w:themeShade="80"/>
          <w:sz w:val="20"/>
          <w:szCs w:val="20"/>
        </w:rPr>
        <w:t>.</w:t>
      </w:r>
    </w:p>
    <w:p w:rsidR="009C0D1D" w:rsidRPr="00A026B2" w:rsidP="005C0FDA">
      <w:pPr>
        <w:spacing w:after="0"/>
        <w:jc w:val="both"/>
        <w:rPr>
          <w:rFonts w:ascii="Verdana" w:hAnsi="Verdana"/>
          <w:snapToGrid w:val="0"/>
          <w:color w:val="0C1B27" w:themeColor="text1" w:themeShade="80"/>
          <w:sz w:val="20"/>
          <w:szCs w:val="20"/>
        </w:rPr>
      </w:pPr>
    </w:p>
    <w:p w:rsidR="003115BE" w:rsidRPr="009C0D1D" w:rsidP="00F81B73">
      <w:pPr>
        <w:spacing w:after="0"/>
        <w:rPr>
          <w:rFonts w:ascii="Verdana" w:hAnsi="Verdana"/>
          <w:snapToGrid w:val="0"/>
          <w:sz w:val="20"/>
          <w:szCs w:val="20"/>
        </w:rPr>
      </w:pPr>
      <w:r w:rsidRPr="00A026B2">
        <w:rPr>
          <w:rFonts w:ascii="Verdana" w:hAnsi="Verdana"/>
          <w:snapToGrid w:val="0"/>
          <w:color w:val="0C1B27" w:themeColor="text1" w:themeShade="80"/>
          <w:sz w:val="20"/>
          <w:szCs w:val="20"/>
        </w:rPr>
        <w:t xml:space="preserve">Exxon responded by </w:t>
      </w:r>
      <w:r>
        <w:rPr>
          <w:rFonts w:ascii="Verdana" w:hAnsi="Verdana"/>
          <w:snapToGrid w:val="0"/>
          <w:color w:val="0C1B27" w:themeColor="text1" w:themeShade="80"/>
          <w:sz w:val="20"/>
          <w:szCs w:val="20"/>
        </w:rPr>
        <w:t>placing</w:t>
      </w:r>
      <w:r w:rsidRPr="00A026B2">
        <w:rPr>
          <w:rFonts w:ascii="Verdana" w:hAnsi="Verdana"/>
          <w:snapToGrid w:val="0"/>
          <w:color w:val="0C1B27" w:themeColor="text1" w:themeShade="80"/>
          <w:sz w:val="20"/>
          <w:szCs w:val="20"/>
        </w:rPr>
        <w:t xml:space="preserve"> a statement </w:t>
      </w:r>
      <w:r>
        <w:rPr>
          <w:rFonts w:ascii="Verdana" w:hAnsi="Verdana"/>
          <w:snapToGrid w:val="0"/>
          <w:color w:val="0C1B27" w:themeColor="text1" w:themeShade="80"/>
          <w:sz w:val="20"/>
          <w:szCs w:val="20"/>
        </w:rPr>
        <w:t>on</w:t>
      </w:r>
      <w:r w:rsidRPr="00A026B2">
        <w:rPr>
          <w:rFonts w:ascii="Verdana" w:hAnsi="Verdana"/>
          <w:snapToGrid w:val="0"/>
          <w:color w:val="0C1B27" w:themeColor="text1" w:themeShade="80"/>
          <w:sz w:val="20"/>
          <w:szCs w:val="20"/>
        </w:rPr>
        <w:t xml:space="preserve"> their website calling into question the </w:t>
      </w:r>
      <w:r w:rsidRPr="00A026B2">
        <w:rPr>
          <w:rFonts w:ascii="Verdana" w:hAnsi="Verdana"/>
          <w:snapToGrid w:val="0"/>
          <w:color w:val="0C1B27" w:themeColor="text1" w:themeShade="80"/>
          <w:sz w:val="20"/>
          <w:szCs w:val="20"/>
        </w:rPr>
        <w:t xml:space="preserve">accuracy of </w:t>
      </w:r>
      <w:r>
        <w:rPr>
          <w:rFonts w:ascii="Verdana" w:hAnsi="Verdana"/>
          <w:snapToGrid w:val="0"/>
          <w:color w:val="0C1B27" w:themeColor="text1" w:themeShade="80"/>
          <w:sz w:val="20"/>
          <w:szCs w:val="20"/>
        </w:rPr>
        <w:t>comments made about the engagement underway wi</w:t>
      </w:r>
      <w:r>
        <w:rPr>
          <w:rFonts w:ascii="Verdana" w:hAnsi="Verdana"/>
          <w:snapToGrid w:val="0"/>
          <w:color w:val="0C1B27" w:themeColor="text1" w:themeShade="80"/>
          <w:sz w:val="20"/>
          <w:szCs w:val="20"/>
        </w:rPr>
        <w:t>th CA100+. Full details are</w:t>
      </w:r>
      <w:r w:rsidRPr="00A026B2">
        <w:rPr>
          <w:rFonts w:ascii="Verdana" w:hAnsi="Verdana"/>
          <w:snapToGrid w:val="0"/>
          <w:color w:val="0C1B27" w:themeColor="text1" w:themeShade="80"/>
          <w:sz w:val="20"/>
          <w:szCs w:val="20"/>
        </w:rPr>
        <w:t xml:space="preserve"> available</w:t>
      </w:r>
      <w:r w:rsidRPr="00F81B73">
        <w:rPr>
          <w:rFonts w:ascii="Verdana" w:hAnsi="Verdana"/>
          <w:snapToGrid w:val="0"/>
          <w:color w:val="0070C0"/>
          <w:sz w:val="20"/>
          <w:szCs w:val="20"/>
        </w:rPr>
        <w:t xml:space="preserve"> </w:t>
      </w:r>
      <w:r>
        <w:fldChar w:fldCharType="begin"/>
      </w:r>
      <w:r>
        <w:instrText xml:space="preserve"> HYPERLINK "https://energyfactor.exxonmobil.com/perspectives/climate-change-and-shareholder-engagement/" </w:instrText>
      </w:r>
      <w:r>
        <w:fldChar w:fldCharType="separate"/>
      </w:r>
      <w:r w:rsidRPr="001C00B7">
        <w:rPr>
          <w:b/>
          <w:color w:val="0070C0"/>
          <w:sz w:val="24"/>
          <w:szCs w:val="24"/>
        </w:rPr>
        <w:t>h</w:t>
      </w:r>
      <w:r w:rsidRPr="001C00B7">
        <w:rPr>
          <w:b/>
          <w:color w:val="0070C0"/>
          <w:sz w:val="24"/>
          <w:szCs w:val="24"/>
        </w:rPr>
        <w:t>e</w:t>
      </w:r>
      <w:r w:rsidRPr="001C00B7">
        <w:rPr>
          <w:b/>
          <w:color w:val="0070C0"/>
          <w:sz w:val="24"/>
          <w:szCs w:val="24"/>
        </w:rPr>
        <w:t>re</w:t>
      </w:r>
      <w:r>
        <w:fldChar w:fldCharType="end"/>
      </w:r>
      <w:r w:rsidRPr="001C00B7">
        <w:rPr>
          <w:rFonts w:ascii="Verdana" w:hAnsi="Verdana"/>
          <w:b/>
          <w:snapToGrid w:val="0"/>
          <w:color w:val="0C1B27" w:themeColor="text1" w:themeShade="80"/>
          <w:sz w:val="24"/>
          <w:szCs w:val="24"/>
        </w:rPr>
        <w:t>.</w:t>
      </w:r>
      <w:r w:rsidRPr="00F81B73">
        <w:rPr>
          <w:rFonts w:ascii="Verdana" w:hAnsi="Verdana"/>
          <w:snapToGrid w:val="0"/>
          <w:color w:val="0C1B27" w:themeColor="text1" w:themeShade="80"/>
          <w:sz w:val="20"/>
          <w:szCs w:val="20"/>
        </w:rPr>
        <w:t xml:space="preserve"> </w:t>
      </w:r>
    </w:p>
    <w:p w:rsidR="009C0D1D" w:rsidRPr="009C0D1D" w:rsidP="005C0FDA">
      <w:pPr>
        <w:spacing w:after="0"/>
        <w:jc w:val="both"/>
        <w:rPr>
          <w:rFonts w:ascii="Verdana" w:hAnsi="Verdana"/>
          <w:snapToGrid w:val="0"/>
          <w:sz w:val="20"/>
          <w:szCs w:val="20"/>
        </w:rPr>
      </w:pPr>
    </w:p>
    <w:p w:rsidR="00A6718A" w:rsidP="00C857CD">
      <w:pPr>
        <w:spacing w:after="0"/>
        <w:jc w:val="both"/>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The</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Exxon </w:t>
      </w:r>
      <w:r>
        <w:rPr>
          <w:rFonts w:ascii="Verdana" w:hAnsi="Verdana"/>
          <w:snapToGrid w:val="0"/>
          <w:color w:val="0C1B27" w:themeColor="text1" w:themeShade="80"/>
          <w:sz w:val="20"/>
          <w:szCs w:val="20"/>
        </w:rPr>
        <w:t xml:space="preserve">AGM falls into Q2 </w:t>
      </w:r>
      <w:r>
        <w:rPr>
          <w:rFonts w:ascii="Verdana" w:hAnsi="Verdana"/>
          <w:snapToGrid w:val="0"/>
          <w:color w:val="0C1B27" w:themeColor="text1" w:themeShade="80"/>
          <w:sz w:val="20"/>
          <w:szCs w:val="20"/>
        </w:rPr>
        <w:t>and at the time of writing</w:t>
      </w:r>
      <w:r w:rsidRPr="00D72B1A">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only preliminary </w:t>
      </w:r>
      <w:r>
        <w:rPr>
          <w:rFonts w:ascii="Verdana" w:hAnsi="Verdana"/>
          <w:snapToGrid w:val="0"/>
          <w:color w:val="0C1B27" w:themeColor="text1" w:themeShade="80"/>
          <w:sz w:val="20"/>
          <w:szCs w:val="20"/>
        </w:rPr>
        <w:t>meeting results were available</w:t>
      </w:r>
      <w:r>
        <w:rPr>
          <w:rFonts w:ascii="Verdana" w:hAnsi="Verdana"/>
          <w:snapToGrid w:val="0"/>
          <w:color w:val="0C1B27" w:themeColor="text1" w:themeShade="80"/>
          <w:sz w:val="20"/>
          <w:szCs w:val="20"/>
        </w:rPr>
        <w:t xml:space="preserve"> on the outcome of voting</w:t>
      </w:r>
      <w:r>
        <w:rPr>
          <w:rFonts w:ascii="Verdana" w:hAnsi="Verdana"/>
          <w:snapToGrid w:val="0"/>
          <w:color w:val="0C1B27" w:themeColor="text1" w:themeShade="80"/>
          <w:sz w:val="20"/>
          <w:szCs w:val="20"/>
        </w:rPr>
        <w:t>. These</w:t>
      </w:r>
      <w:r>
        <w:rPr>
          <w:rFonts w:ascii="Verdana" w:hAnsi="Verdana"/>
          <w:snapToGrid w:val="0"/>
          <w:color w:val="0C1B27" w:themeColor="text1" w:themeShade="80"/>
          <w:sz w:val="20"/>
          <w:szCs w:val="20"/>
        </w:rPr>
        <w:t xml:space="preserve"> indicate that none of the proposals achieved the majority vote needed, the largest support (40%) being for an independent Chairman</w:t>
      </w:r>
      <w:r>
        <w:rPr>
          <w:rFonts w:ascii="Verdana" w:hAnsi="Verdana"/>
          <w:snapToGrid w:val="0"/>
          <w:color w:val="0C1B27" w:themeColor="text1" w:themeShade="80"/>
          <w:sz w:val="20"/>
          <w:szCs w:val="20"/>
        </w:rPr>
        <w:t>. T</w:t>
      </w:r>
      <w:r>
        <w:rPr>
          <w:rFonts w:ascii="Verdana" w:hAnsi="Verdana"/>
          <w:snapToGrid w:val="0"/>
          <w:color w:val="0C1B27" w:themeColor="text1" w:themeShade="80"/>
          <w:sz w:val="20"/>
          <w:szCs w:val="20"/>
        </w:rPr>
        <w:t xml:space="preserve">he </w:t>
      </w:r>
      <w:r>
        <w:rPr>
          <w:rFonts w:ascii="Verdana" w:hAnsi="Verdana"/>
          <w:snapToGrid w:val="0"/>
          <w:color w:val="0C1B27" w:themeColor="text1" w:themeShade="80"/>
          <w:sz w:val="20"/>
          <w:szCs w:val="20"/>
        </w:rPr>
        <w:t xml:space="preserve">confirmed results from </w:t>
      </w:r>
      <w:r>
        <w:rPr>
          <w:rFonts w:ascii="Verdana" w:hAnsi="Verdana"/>
          <w:snapToGrid w:val="0"/>
          <w:color w:val="0C1B27" w:themeColor="text1" w:themeShade="80"/>
          <w:sz w:val="20"/>
          <w:szCs w:val="20"/>
        </w:rPr>
        <w:t>the</w:t>
      </w:r>
      <w:r>
        <w:rPr>
          <w:rFonts w:ascii="Verdana" w:hAnsi="Verdana"/>
          <w:snapToGrid w:val="0"/>
          <w:color w:val="0C1B27" w:themeColor="text1" w:themeShade="80"/>
          <w:sz w:val="20"/>
          <w:szCs w:val="20"/>
        </w:rPr>
        <w:t xml:space="preserve"> Exxon AGM </w:t>
      </w:r>
      <w:r>
        <w:rPr>
          <w:rFonts w:ascii="Verdana" w:hAnsi="Verdana"/>
          <w:snapToGrid w:val="0"/>
          <w:color w:val="0C1B27" w:themeColor="text1" w:themeShade="80"/>
          <w:sz w:val="20"/>
          <w:szCs w:val="20"/>
        </w:rPr>
        <w:t>will be shared with the Committee as part of Q2 re</w:t>
      </w:r>
      <w:r>
        <w:rPr>
          <w:rFonts w:ascii="Verdana" w:hAnsi="Verdana"/>
          <w:snapToGrid w:val="0"/>
          <w:color w:val="0C1B27" w:themeColor="text1" w:themeShade="80"/>
          <w:sz w:val="20"/>
          <w:szCs w:val="20"/>
        </w:rPr>
        <w:t>porting</w:t>
      </w:r>
      <w:r>
        <w:rPr>
          <w:rFonts w:ascii="Verdana" w:hAnsi="Verdana"/>
          <w:snapToGrid w:val="0"/>
          <w:color w:val="0C1B27" w:themeColor="text1" w:themeShade="80"/>
          <w:sz w:val="20"/>
          <w:szCs w:val="20"/>
        </w:rPr>
        <w:t>.</w:t>
      </w:r>
    </w:p>
    <w:p w:rsidR="00DC3091" w:rsidP="00C857CD">
      <w:pPr>
        <w:spacing w:after="0"/>
        <w:jc w:val="both"/>
        <w:rPr>
          <w:rFonts w:ascii="Verdana" w:hAnsi="Verdana" w:cs="Arial"/>
          <w:b/>
          <w:bCs/>
          <w:color w:val="54BBAB" w:themeColor="text2"/>
          <w:sz w:val="20"/>
          <w:szCs w:val="20"/>
        </w:rPr>
      </w:pPr>
    </w:p>
    <w:p w:rsidR="00197BA3" w:rsidRPr="00A6718A" w:rsidP="00C857CD">
      <w:pPr>
        <w:spacing w:after="0"/>
        <w:jc w:val="both"/>
        <w:rPr>
          <w:rFonts w:ascii="Verdana" w:hAnsi="Verdana"/>
          <w:snapToGrid w:val="0"/>
          <w:color w:val="0C1B27" w:themeColor="text1" w:themeShade="80"/>
          <w:sz w:val="20"/>
          <w:szCs w:val="20"/>
        </w:rPr>
      </w:pPr>
      <w:r>
        <w:rPr>
          <w:rFonts w:ascii="Verdana" w:hAnsi="Verdana" w:cs="Arial"/>
          <w:b/>
          <w:bCs/>
          <w:color w:val="54BBAB" w:themeColor="text2"/>
          <w:sz w:val="20"/>
          <w:szCs w:val="20"/>
        </w:rPr>
        <w:t>5</w:t>
      </w:r>
      <w:r>
        <w:rPr>
          <w:rFonts w:ascii="Verdana" w:hAnsi="Verdana" w:cs="Arial"/>
          <w:b/>
          <w:bCs/>
          <w:color w:val="54BBAB" w:themeColor="text2"/>
          <w:sz w:val="20"/>
          <w:szCs w:val="20"/>
        </w:rPr>
        <w:tab/>
      </w:r>
      <w:r w:rsidRPr="008103F0">
        <w:rPr>
          <w:rFonts w:ascii="Verdana" w:hAnsi="Verdana" w:cs="Arial"/>
          <w:b/>
          <w:bCs/>
          <w:color w:val="54BBAB" w:themeColor="text2"/>
          <w:sz w:val="20"/>
          <w:szCs w:val="20"/>
        </w:rPr>
        <w:t>Shareholder Litigation</w:t>
      </w:r>
    </w:p>
    <w:p w:rsidR="00C857CD" w:rsidRPr="008103F0" w:rsidP="00C857CD">
      <w:pPr>
        <w:spacing w:after="0"/>
        <w:jc w:val="both"/>
        <w:rPr>
          <w:rFonts w:ascii="Verdana" w:hAnsi="Verdana" w:cs="Arial"/>
          <w:b/>
          <w:bCs/>
          <w:color w:val="54BBAB" w:themeColor="text2"/>
          <w:sz w:val="20"/>
          <w:szCs w:val="20"/>
        </w:rPr>
      </w:pPr>
    </w:p>
    <w:p w:rsidR="00601570" w:rsidRPr="003606C9"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LPPI </w:t>
      </w:r>
      <w:r w:rsidRPr="003606C9">
        <w:rPr>
          <w:rFonts w:ascii="Verdana" w:hAnsi="Verdana"/>
          <w:snapToGrid w:val="0"/>
          <w:color w:val="0C1B27" w:themeColor="text1" w:themeShade="80"/>
          <w:sz w:val="20"/>
          <w:szCs w:val="20"/>
        </w:rPr>
        <w:t>employ</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Institutional Protection Services (IPS) as </w:t>
      </w:r>
      <w:r w:rsidRPr="003606C9">
        <w:rPr>
          <w:rFonts w:ascii="Verdana" w:hAnsi="Verdana"/>
          <w:snapToGrid w:val="0"/>
          <w:color w:val="0C1B27" w:themeColor="text1" w:themeShade="80"/>
          <w:sz w:val="20"/>
          <w:szCs w:val="20"/>
        </w:rPr>
        <w:t xml:space="preserve">an external provider of litigation monitoring services to ensure </w:t>
      </w:r>
      <w:r w:rsidRPr="003606C9">
        <w:rPr>
          <w:rFonts w:ascii="Verdana" w:hAnsi="Verdana"/>
          <w:snapToGrid w:val="0"/>
          <w:color w:val="0C1B27" w:themeColor="text1" w:themeShade="80"/>
          <w:sz w:val="20"/>
          <w:szCs w:val="20"/>
        </w:rPr>
        <w:t>shareholder litigation</w:t>
      </w:r>
      <w:r w:rsidRPr="003606C9">
        <w:rPr>
          <w:rFonts w:ascii="Verdana" w:hAnsi="Verdana"/>
          <w:snapToGrid w:val="0"/>
          <w:color w:val="0C1B27" w:themeColor="text1" w:themeShade="80"/>
          <w:sz w:val="20"/>
          <w:szCs w:val="20"/>
        </w:rPr>
        <w:t xml:space="preserve"> case</w:t>
      </w:r>
      <w:r w:rsidRPr="003606C9">
        <w:rPr>
          <w:rFonts w:ascii="Verdana" w:hAnsi="Verdana"/>
          <w:snapToGrid w:val="0"/>
          <w:color w:val="0C1B27" w:themeColor="text1" w:themeShade="80"/>
          <w:sz w:val="20"/>
          <w:szCs w:val="20"/>
        </w:rPr>
        <w:t>s</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affecting securities </w:t>
      </w:r>
      <w:r w:rsidRPr="003606C9">
        <w:rPr>
          <w:rFonts w:ascii="Verdana" w:hAnsi="Verdana"/>
          <w:snapToGrid w:val="0"/>
          <w:color w:val="0C1B27" w:themeColor="text1" w:themeShade="80"/>
          <w:sz w:val="20"/>
          <w:szCs w:val="20"/>
        </w:rPr>
        <w:t>owned by</w:t>
      </w:r>
      <w:r w:rsidRPr="003606C9">
        <w:rPr>
          <w:rFonts w:ascii="Verdana" w:hAnsi="Verdana"/>
          <w:snapToGrid w:val="0"/>
          <w:color w:val="0C1B27" w:themeColor="text1" w:themeShade="80"/>
          <w:sz w:val="20"/>
          <w:szCs w:val="20"/>
        </w:rPr>
        <w:t xml:space="preserve"> the GEF </w:t>
      </w:r>
      <w:r w:rsidRPr="003606C9">
        <w:rPr>
          <w:rFonts w:ascii="Verdana" w:hAnsi="Verdana"/>
          <w:snapToGrid w:val="0"/>
          <w:color w:val="0C1B27" w:themeColor="text1" w:themeShade="80"/>
          <w:sz w:val="20"/>
          <w:szCs w:val="20"/>
        </w:rPr>
        <w:t>are known about,</w:t>
      </w:r>
      <w:r w:rsidRPr="003606C9">
        <w:rPr>
          <w:rFonts w:ascii="Verdana" w:hAnsi="Verdana"/>
          <w:snapToGrid w:val="0"/>
          <w:color w:val="0C1B27" w:themeColor="text1" w:themeShade="80"/>
          <w:sz w:val="20"/>
          <w:szCs w:val="20"/>
        </w:rPr>
        <w:t xml:space="preserve"> claims are filed in a timely way </w:t>
      </w:r>
      <w:r w:rsidRPr="003606C9">
        <w:rPr>
          <w:rFonts w:ascii="Verdana" w:hAnsi="Verdana"/>
          <w:snapToGrid w:val="0"/>
          <w:color w:val="0C1B27" w:themeColor="text1" w:themeShade="80"/>
          <w:sz w:val="20"/>
          <w:szCs w:val="20"/>
        </w:rPr>
        <w:t>and progress is monitored and follo</w:t>
      </w:r>
      <w:r w:rsidRPr="003606C9">
        <w:rPr>
          <w:rFonts w:ascii="Verdana" w:hAnsi="Verdana"/>
          <w:snapToGrid w:val="0"/>
          <w:color w:val="0C1B27" w:themeColor="text1" w:themeShade="80"/>
          <w:sz w:val="20"/>
          <w:szCs w:val="20"/>
        </w:rPr>
        <w:t>wed up</w:t>
      </w:r>
      <w:r w:rsidRPr="003606C9">
        <w:rPr>
          <w:rFonts w:ascii="Verdana" w:hAnsi="Verdana"/>
          <w:snapToGrid w:val="0"/>
          <w:color w:val="0C1B27" w:themeColor="text1" w:themeShade="80"/>
          <w:sz w:val="20"/>
          <w:szCs w:val="20"/>
        </w:rPr>
        <w:t xml:space="preserve"> with Claims A</w:t>
      </w:r>
      <w:r w:rsidRPr="003606C9">
        <w:rPr>
          <w:rFonts w:ascii="Verdana" w:hAnsi="Verdana"/>
          <w:snapToGrid w:val="0"/>
          <w:color w:val="0C1B27" w:themeColor="text1" w:themeShade="80"/>
          <w:sz w:val="20"/>
          <w:szCs w:val="20"/>
        </w:rPr>
        <w:t>dministrators</w:t>
      </w:r>
      <w:r w:rsidRPr="003606C9">
        <w:rPr>
          <w:rFonts w:ascii="Verdana" w:hAnsi="Verdana"/>
          <w:snapToGrid w:val="0"/>
          <w:color w:val="0C1B27" w:themeColor="text1" w:themeShade="80"/>
          <w:sz w:val="20"/>
          <w:szCs w:val="20"/>
        </w:rPr>
        <w:t>.</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In addition, IPS monito</w:t>
      </w:r>
      <w:r w:rsidRPr="003606C9">
        <w:rPr>
          <w:rFonts w:ascii="Verdana" w:hAnsi="Verdana"/>
          <w:snapToGrid w:val="0"/>
          <w:color w:val="0C1B27" w:themeColor="text1" w:themeShade="80"/>
          <w:sz w:val="20"/>
          <w:szCs w:val="20"/>
        </w:rPr>
        <w:t xml:space="preserve">r </w:t>
      </w:r>
      <w:r w:rsidRPr="003606C9">
        <w:rPr>
          <w:rFonts w:ascii="Verdana" w:hAnsi="Verdana"/>
          <w:snapToGrid w:val="0"/>
          <w:color w:val="0C1B27" w:themeColor="text1" w:themeShade="80"/>
          <w:sz w:val="20"/>
          <w:szCs w:val="20"/>
        </w:rPr>
        <w:t xml:space="preserve">cases </w:t>
      </w:r>
      <w:r w:rsidRPr="003606C9">
        <w:rPr>
          <w:rFonts w:ascii="Verdana" w:hAnsi="Verdana"/>
          <w:snapToGrid w:val="0"/>
          <w:color w:val="0C1B27" w:themeColor="text1" w:themeShade="80"/>
          <w:sz w:val="20"/>
          <w:szCs w:val="20"/>
        </w:rPr>
        <w:t>relating</w:t>
      </w:r>
      <w:r w:rsidRPr="003606C9">
        <w:rPr>
          <w:rFonts w:ascii="Verdana" w:hAnsi="Verdana"/>
          <w:snapToGrid w:val="0"/>
          <w:color w:val="0C1B27" w:themeColor="text1" w:themeShade="80"/>
          <w:sz w:val="20"/>
          <w:szCs w:val="20"/>
        </w:rPr>
        <w:t xml:space="preserve"> to </w:t>
      </w:r>
      <w:r w:rsidRPr="003606C9">
        <w:rPr>
          <w:rFonts w:ascii="Verdana" w:hAnsi="Verdana"/>
          <w:snapToGrid w:val="0"/>
          <w:color w:val="0C1B27" w:themeColor="text1" w:themeShade="80"/>
          <w:sz w:val="20"/>
          <w:szCs w:val="20"/>
        </w:rPr>
        <w:t>shares</w:t>
      </w:r>
      <w:r w:rsidRPr="003606C9">
        <w:rPr>
          <w:rFonts w:ascii="Verdana" w:hAnsi="Verdana"/>
          <w:snapToGrid w:val="0"/>
          <w:color w:val="0C1B27" w:themeColor="text1" w:themeShade="80"/>
          <w:sz w:val="20"/>
          <w:szCs w:val="20"/>
        </w:rPr>
        <w:t xml:space="preserve"> held by LCPF </w:t>
      </w:r>
      <w:r w:rsidRPr="003606C9">
        <w:rPr>
          <w:rFonts w:ascii="Verdana" w:hAnsi="Verdana"/>
          <w:snapToGrid w:val="0"/>
          <w:color w:val="0C1B27" w:themeColor="text1" w:themeShade="80"/>
          <w:sz w:val="20"/>
          <w:szCs w:val="20"/>
        </w:rPr>
        <w:t xml:space="preserve">in the period </w:t>
      </w:r>
      <w:r w:rsidRPr="003606C9">
        <w:rPr>
          <w:rFonts w:ascii="Verdana" w:hAnsi="Verdana"/>
          <w:snapToGrid w:val="0"/>
          <w:color w:val="0C1B27" w:themeColor="text1" w:themeShade="80"/>
          <w:sz w:val="20"/>
          <w:szCs w:val="20"/>
        </w:rPr>
        <w:t xml:space="preserve">before the Fund pooled its listed equity investments from November 2016.  </w:t>
      </w:r>
      <w:r w:rsidRPr="003606C9">
        <w:rPr>
          <w:rFonts w:ascii="Verdana" w:hAnsi="Verdana"/>
          <w:snapToGrid w:val="0"/>
          <w:color w:val="0C1B27" w:themeColor="text1" w:themeShade="80"/>
          <w:sz w:val="20"/>
          <w:szCs w:val="20"/>
        </w:rPr>
        <w:t xml:space="preserve">Litigation </w:t>
      </w:r>
      <w:r w:rsidRPr="003606C9">
        <w:rPr>
          <w:rFonts w:ascii="Verdana" w:hAnsi="Verdana"/>
          <w:snapToGrid w:val="0"/>
          <w:color w:val="0C1B27" w:themeColor="text1" w:themeShade="80"/>
          <w:sz w:val="20"/>
          <w:szCs w:val="20"/>
        </w:rPr>
        <w:t>can</w:t>
      </w:r>
      <w:r w:rsidRPr="003606C9">
        <w:rPr>
          <w:rFonts w:ascii="Verdana" w:hAnsi="Verdana"/>
          <w:snapToGrid w:val="0"/>
          <w:color w:val="0C1B27" w:themeColor="text1" w:themeShade="80"/>
          <w:sz w:val="20"/>
          <w:szCs w:val="20"/>
        </w:rPr>
        <w:t xml:space="preserve"> arise </w:t>
      </w:r>
      <w:r w:rsidRPr="003606C9">
        <w:rPr>
          <w:rFonts w:ascii="Verdana" w:hAnsi="Verdana"/>
          <w:snapToGrid w:val="0"/>
          <w:color w:val="0C1B27" w:themeColor="text1" w:themeShade="80"/>
          <w:sz w:val="20"/>
          <w:szCs w:val="20"/>
        </w:rPr>
        <w:t xml:space="preserve">quite </w:t>
      </w:r>
      <w:r w:rsidRPr="003606C9">
        <w:rPr>
          <w:rFonts w:ascii="Verdana" w:hAnsi="Verdana"/>
          <w:snapToGrid w:val="0"/>
          <w:color w:val="0C1B27" w:themeColor="text1" w:themeShade="80"/>
          <w:sz w:val="20"/>
          <w:szCs w:val="20"/>
        </w:rPr>
        <w:t>some</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time after </w:t>
      </w:r>
      <w:r w:rsidRPr="003606C9">
        <w:rPr>
          <w:rFonts w:ascii="Verdana" w:hAnsi="Verdana"/>
          <w:snapToGrid w:val="0"/>
          <w:color w:val="0C1B27" w:themeColor="text1" w:themeShade="80"/>
          <w:sz w:val="20"/>
          <w:szCs w:val="20"/>
        </w:rPr>
        <w:t>share</w:t>
      </w:r>
      <w:r w:rsidRPr="003606C9">
        <w:rPr>
          <w:rFonts w:ascii="Verdana" w:hAnsi="Verdana"/>
          <w:snapToGrid w:val="0"/>
          <w:color w:val="0C1B27" w:themeColor="text1" w:themeShade="80"/>
          <w:sz w:val="20"/>
          <w:szCs w:val="20"/>
        </w:rPr>
        <w:t>s</w:t>
      </w:r>
      <w:r w:rsidRPr="003606C9">
        <w:rPr>
          <w:rFonts w:ascii="Verdana" w:hAnsi="Verdana"/>
          <w:snapToGrid w:val="0"/>
          <w:color w:val="0C1B27" w:themeColor="text1" w:themeShade="80"/>
          <w:sz w:val="20"/>
          <w:szCs w:val="20"/>
        </w:rPr>
        <w:t xml:space="preserve"> have been sold and </w:t>
      </w:r>
      <w:r w:rsidRPr="003606C9">
        <w:rPr>
          <w:rFonts w:ascii="Verdana" w:hAnsi="Verdana"/>
          <w:snapToGrid w:val="0"/>
          <w:color w:val="0C1B27" w:themeColor="text1" w:themeShade="80"/>
          <w:sz w:val="20"/>
          <w:szCs w:val="20"/>
        </w:rPr>
        <w:t xml:space="preserve">monitoring </w:t>
      </w:r>
      <w:r w:rsidRPr="003606C9">
        <w:rPr>
          <w:rFonts w:ascii="Verdana" w:hAnsi="Verdana"/>
          <w:snapToGrid w:val="0"/>
          <w:color w:val="0C1B27" w:themeColor="text1" w:themeShade="80"/>
          <w:sz w:val="20"/>
          <w:szCs w:val="20"/>
        </w:rPr>
        <w:t xml:space="preserve">new cases and referring back to historic </w:t>
      </w:r>
      <w:r w:rsidRPr="003606C9">
        <w:rPr>
          <w:rFonts w:ascii="Verdana" w:hAnsi="Verdana"/>
          <w:snapToGrid w:val="0"/>
          <w:color w:val="0C1B27" w:themeColor="text1" w:themeShade="80"/>
          <w:sz w:val="20"/>
          <w:szCs w:val="20"/>
        </w:rPr>
        <w:t xml:space="preserve">records </w:t>
      </w:r>
      <w:r w:rsidRPr="003606C9">
        <w:rPr>
          <w:rFonts w:ascii="Verdana" w:hAnsi="Verdana"/>
          <w:snapToGrid w:val="0"/>
          <w:color w:val="0C1B27" w:themeColor="text1" w:themeShade="80"/>
          <w:sz w:val="20"/>
          <w:szCs w:val="20"/>
        </w:rPr>
        <w:t>to establish rights of ownership is an ongoing task.</w:t>
      </w:r>
    </w:p>
    <w:p w:rsidR="00C857CD" w:rsidRPr="003606C9" w:rsidP="003606C9">
      <w:pPr>
        <w:spacing w:after="0"/>
        <w:rPr>
          <w:rFonts w:ascii="Verdana" w:hAnsi="Verdana"/>
          <w:snapToGrid w:val="0"/>
          <w:color w:val="0C1B27" w:themeColor="text1" w:themeShade="80"/>
          <w:sz w:val="20"/>
          <w:szCs w:val="20"/>
        </w:rPr>
      </w:pPr>
    </w:p>
    <w:p w:rsidR="00EC3178" w:rsidRPr="003606C9"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IPS provide LPP</w:t>
      </w:r>
      <w:r w:rsidRPr="003606C9">
        <w:rPr>
          <w:rFonts w:ascii="Verdana" w:hAnsi="Verdana"/>
          <w:snapToGrid w:val="0"/>
          <w:color w:val="0C1B27" w:themeColor="text1" w:themeShade="80"/>
          <w:sz w:val="20"/>
          <w:szCs w:val="20"/>
        </w:rPr>
        <w:t xml:space="preserve">I </w:t>
      </w:r>
      <w:r w:rsidRPr="003606C9">
        <w:rPr>
          <w:rFonts w:ascii="Verdana" w:hAnsi="Verdana"/>
          <w:snapToGrid w:val="0"/>
          <w:color w:val="0C1B27" w:themeColor="text1" w:themeShade="80"/>
          <w:sz w:val="20"/>
          <w:szCs w:val="20"/>
        </w:rPr>
        <w:t>with</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m</w:t>
      </w:r>
      <w:r w:rsidRPr="003606C9">
        <w:rPr>
          <w:rFonts w:ascii="Verdana" w:hAnsi="Verdana"/>
          <w:snapToGrid w:val="0"/>
          <w:color w:val="0C1B27" w:themeColor="text1" w:themeShade="80"/>
          <w:sz w:val="20"/>
          <w:szCs w:val="20"/>
        </w:rPr>
        <w:t xml:space="preserve">onitoring </w:t>
      </w:r>
      <w:r w:rsidRPr="003606C9">
        <w:rPr>
          <w:rFonts w:ascii="Verdana" w:hAnsi="Verdana"/>
          <w:snapToGrid w:val="0"/>
          <w:color w:val="0C1B27" w:themeColor="text1" w:themeShade="80"/>
          <w:sz w:val="20"/>
          <w:szCs w:val="20"/>
        </w:rPr>
        <w:t>information</w:t>
      </w:r>
      <w:r w:rsidRPr="003606C9">
        <w:rPr>
          <w:rFonts w:ascii="Verdana" w:hAnsi="Verdana"/>
          <w:snapToGrid w:val="0"/>
          <w:color w:val="0C1B27" w:themeColor="text1" w:themeShade="80"/>
          <w:sz w:val="20"/>
          <w:szCs w:val="20"/>
        </w:rPr>
        <w:t xml:space="preserve"> on a quarterly basis </w:t>
      </w:r>
      <w:r w:rsidRPr="003606C9">
        <w:rPr>
          <w:rFonts w:ascii="Verdana" w:hAnsi="Verdana"/>
          <w:snapToGrid w:val="0"/>
          <w:color w:val="0C1B27" w:themeColor="text1" w:themeShade="80"/>
          <w:sz w:val="20"/>
          <w:szCs w:val="20"/>
        </w:rPr>
        <w:t>detailing</w:t>
      </w:r>
      <w:r w:rsidRPr="003606C9">
        <w:rPr>
          <w:rFonts w:ascii="Verdana" w:hAnsi="Verdana"/>
          <w:snapToGrid w:val="0"/>
          <w:color w:val="0C1B27" w:themeColor="text1" w:themeShade="80"/>
          <w:sz w:val="20"/>
          <w:szCs w:val="20"/>
        </w:rPr>
        <w:t xml:space="preserve"> the number of cases investiga</w:t>
      </w:r>
      <w:r w:rsidRPr="003606C9">
        <w:rPr>
          <w:rFonts w:ascii="Verdana" w:hAnsi="Verdana"/>
          <w:snapToGrid w:val="0"/>
          <w:color w:val="0C1B27" w:themeColor="text1" w:themeShade="80"/>
          <w:sz w:val="20"/>
          <w:szCs w:val="20"/>
        </w:rPr>
        <w:t>ted</w:t>
      </w:r>
      <w:r w:rsidRPr="003606C9">
        <w:rPr>
          <w:rFonts w:ascii="Verdana" w:hAnsi="Verdana"/>
          <w:snapToGrid w:val="0"/>
          <w:color w:val="0C1B27" w:themeColor="text1" w:themeShade="80"/>
          <w:sz w:val="20"/>
          <w:szCs w:val="20"/>
        </w:rPr>
        <w:t>.</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The </w:t>
      </w:r>
      <w:r w:rsidRPr="003606C9">
        <w:rPr>
          <w:rFonts w:ascii="Verdana" w:hAnsi="Verdana"/>
          <w:snapToGrid w:val="0"/>
          <w:color w:val="0C1B27" w:themeColor="text1" w:themeShade="80"/>
          <w:sz w:val="20"/>
          <w:szCs w:val="20"/>
        </w:rPr>
        <w:t xml:space="preserve">monitoring </w:t>
      </w:r>
      <w:r w:rsidRPr="003606C9">
        <w:rPr>
          <w:rFonts w:ascii="Verdana" w:hAnsi="Verdana"/>
          <w:snapToGrid w:val="0"/>
          <w:color w:val="0C1B27" w:themeColor="text1" w:themeShade="80"/>
          <w:sz w:val="20"/>
          <w:szCs w:val="20"/>
        </w:rPr>
        <w:t xml:space="preserve">report </w:t>
      </w:r>
      <w:r w:rsidRPr="003606C9">
        <w:rPr>
          <w:rFonts w:ascii="Verdana" w:hAnsi="Verdana"/>
          <w:snapToGrid w:val="0"/>
          <w:color w:val="0C1B27" w:themeColor="text1" w:themeShade="80"/>
          <w:sz w:val="20"/>
          <w:szCs w:val="20"/>
        </w:rPr>
        <w:t>for Q</w:t>
      </w:r>
      <w:r>
        <w:rPr>
          <w:rFonts w:ascii="Verdana" w:hAnsi="Verdana"/>
          <w:snapToGrid w:val="0"/>
          <w:color w:val="0C1B27" w:themeColor="text1" w:themeShade="80"/>
          <w:sz w:val="20"/>
          <w:szCs w:val="20"/>
        </w:rPr>
        <w:t>1</w:t>
      </w:r>
      <w:r w:rsidRPr="003606C9">
        <w:rPr>
          <w:rFonts w:ascii="Verdana" w:hAnsi="Verdana"/>
          <w:snapToGrid w:val="0"/>
          <w:color w:val="0C1B27" w:themeColor="text1" w:themeShade="80"/>
          <w:sz w:val="20"/>
          <w:szCs w:val="20"/>
        </w:rPr>
        <w:t xml:space="preserve"> 201</w:t>
      </w:r>
      <w:r>
        <w:rPr>
          <w:rFonts w:ascii="Verdana" w:hAnsi="Verdana"/>
          <w:snapToGrid w:val="0"/>
          <w:color w:val="0C1B27" w:themeColor="text1" w:themeShade="80"/>
          <w:sz w:val="20"/>
          <w:szCs w:val="20"/>
        </w:rPr>
        <w:t>9</w:t>
      </w:r>
      <w:r w:rsidRPr="003606C9">
        <w:rPr>
          <w:rFonts w:ascii="Verdana" w:hAnsi="Verdana"/>
          <w:snapToGrid w:val="0"/>
          <w:color w:val="0C1B27" w:themeColor="text1" w:themeShade="80"/>
          <w:sz w:val="20"/>
          <w:szCs w:val="20"/>
        </w:rPr>
        <w:t xml:space="preserve"> confirm</w:t>
      </w:r>
      <w:r w:rsidRPr="003606C9">
        <w:rPr>
          <w:rFonts w:ascii="Verdana" w:hAnsi="Verdana"/>
          <w:snapToGrid w:val="0"/>
          <w:color w:val="0C1B27" w:themeColor="text1" w:themeShade="80"/>
          <w:sz w:val="20"/>
          <w:szCs w:val="20"/>
        </w:rPr>
        <w:t>s</w:t>
      </w:r>
      <w:r w:rsidRPr="003606C9">
        <w:rPr>
          <w:rFonts w:ascii="Verdana" w:hAnsi="Verdana"/>
          <w:snapToGrid w:val="0"/>
          <w:color w:val="0C1B27" w:themeColor="text1" w:themeShade="80"/>
          <w:sz w:val="20"/>
          <w:szCs w:val="20"/>
        </w:rPr>
        <w:t xml:space="preserve"> that </w:t>
      </w:r>
      <w:r>
        <w:rPr>
          <w:rFonts w:ascii="Verdana" w:hAnsi="Verdana"/>
          <w:snapToGrid w:val="0"/>
          <w:color w:val="0C1B27" w:themeColor="text1" w:themeShade="80"/>
          <w:sz w:val="20"/>
          <w:szCs w:val="20"/>
        </w:rPr>
        <w:t xml:space="preserve">4 </w:t>
      </w:r>
      <w:r w:rsidRPr="003606C9">
        <w:rPr>
          <w:rFonts w:ascii="Verdana" w:hAnsi="Verdana"/>
          <w:snapToGrid w:val="0"/>
          <w:color w:val="0C1B27" w:themeColor="text1" w:themeShade="80"/>
          <w:sz w:val="20"/>
          <w:szCs w:val="20"/>
        </w:rPr>
        <w:t xml:space="preserve">new </w:t>
      </w:r>
      <w:r w:rsidRPr="003606C9">
        <w:rPr>
          <w:rFonts w:ascii="Verdana" w:hAnsi="Verdana"/>
          <w:snapToGrid w:val="0"/>
          <w:color w:val="0C1B27" w:themeColor="text1" w:themeShade="80"/>
          <w:sz w:val="20"/>
          <w:szCs w:val="20"/>
        </w:rPr>
        <w:t xml:space="preserve">potential cases </w:t>
      </w:r>
      <w:r>
        <w:rPr>
          <w:rFonts w:ascii="Verdana" w:hAnsi="Verdana"/>
          <w:snapToGrid w:val="0"/>
          <w:color w:val="0C1B27" w:themeColor="text1" w:themeShade="80"/>
          <w:sz w:val="20"/>
          <w:szCs w:val="20"/>
        </w:rPr>
        <w:t>have been</w:t>
      </w:r>
      <w:r w:rsidRPr="003606C9">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identified </w:t>
      </w:r>
      <w:r w:rsidRPr="003606C9">
        <w:rPr>
          <w:rFonts w:ascii="Verdana" w:hAnsi="Verdana"/>
          <w:snapToGrid w:val="0"/>
          <w:color w:val="0C1B27" w:themeColor="text1" w:themeShade="80"/>
          <w:sz w:val="20"/>
          <w:szCs w:val="20"/>
        </w:rPr>
        <w:t>where the Fund m</w:t>
      </w:r>
      <w:r>
        <w:rPr>
          <w:rFonts w:ascii="Verdana" w:hAnsi="Verdana"/>
          <w:snapToGrid w:val="0"/>
          <w:color w:val="0C1B27" w:themeColor="text1" w:themeShade="80"/>
          <w:sz w:val="20"/>
          <w:szCs w:val="20"/>
        </w:rPr>
        <w:t>ay</w:t>
      </w:r>
      <w:r w:rsidRPr="003606C9">
        <w:rPr>
          <w:rFonts w:ascii="Verdana" w:hAnsi="Verdana"/>
          <w:snapToGrid w:val="0"/>
          <w:color w:val="0C1B27" w:themeColor="text1" w:themeShade="80"/>
          <w:sz w:val="20"/>
          <w:szCs w:val="20"/>
        </w:rPr>
        <w:t xml:space="preserve"> have an entitlement to join a</w:t>
      </w:r>
      <w:r w:rsidRPr="003606C9">
        <w:rPr>
          <w:rFonts w:ascii="Verdana" w:hAnsi="Verdana"/>
          <w:snapToGrid w:val="0"/>
          <w:color w:val="0C1B27" w:themeColor="text1" w:themeShade="80"/>
          <w:sz w:val="20"/>
          <w:szCs w:val="20"/>
        </w:rPr>
        <w:t xml:space="preserve"> class </w:t>
      </w:r>
      <w:r w:rsidRPr="003606C9">
        <w:rPr>
          <w:rFonts w:ascii="Verdana" w:hAnsi="Verdana"/>
          <w:snapToGrid w:val="0"/>
          <w:color w:val="0C1B27" w:themeColor="text1" w:themeShade="80"/>
          <w:sz w:val="20"/>
          <w:szCs w:val="20"/>
        </w:rPr>
        <w:t>action</w:t>
      </w:r>
      <w:r>
        <w:rPr>
          <w:rFonts w:ascii="Verdana" w:hAnsi="Verdana"/>
          <w:snapToGrid w:val="0"/>
          <w:color w:val="0C1B27" w:themeColor="text1" w:themeShade="80"/>
          <w:sz w:val="20"/>
          <w:szCs w:val="20"/>
        </w:rPr>
        <w:t xml:space="preserve"> and eligibility is being assessed</w:t>
      </w:r>
      <w:r w:rsidRPr="003606C9">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there are a further </w:t>
      </w:r>
      <w:r>
        <w:rPr>
          <w:rFonts w:ascii="Verdana" w:hAnsi="Verdana"/>
          <w:snapToGrid w:val="0"/>
          <w:color w:val="0C1B27" w:themeColor="text1" w:themeShade="80"/>
          <w:sz w:val="20"/>
          <w:szCs w:val="20"/>
        </w:rPr>
        <w:t>2</w:t>
      </w:r>
      <w:r w:rsidRPr="003606C9">
        <w:rPr>
          <w:rFonts w:ascii="Verdana" w:hAnsi="Verdana"/>
          <w:snapToGrid w:val="0"/>
          <w:color w:val="0C1B27" w:themeColor="text1" w:themeShade="80"/>
          <w:sz w:val="20"/>
          <w:szCs w:val="20"/>
        </w:rPr>
        <w:t xml:space="preserve"> cases where eligibility has been confirmed and a claim will be filed and </w:t>
      </w:r>
      <w:r>
        <w:rPr>
          <w:rFonts w:ascii="Verdana" w:hAnsi="Verdana"/>
          <w:snapToGrid w:val="0"/>
          <w:color w:val="0C1B27" w:themeColor="text1" w:themeShade="80"/>
          <w:sz w:val="20"/>
          <w:szCs w:val="20"/>
        </w:rPr>
        <w:t>7</w:t>
      </w:r>
      <w:r w:rsidRPr="003606C9">
        <w:rPr>
          <w:rFonts w:ascii="Verdana" w:hAnsi="Verdana"/>
          <w:snapToGrid w:val="0"/>
          <w:color w:val="0C1B27" w:themeColor="text1" w:themeShade="80"/>
          <w:sz w:val="20"/>
          <w:szCs w:val="20"/>
        </w:rPr>
        <w:t xml:space="preserve"> which have been discounted following </w:t>
      </w:r>
      <w:r w:rsidRPr="003606C9">
        <w:rPr>
          <w:rFonts w:ascii="Verdana" w:hAnsi="Verdana"/>
          <w:snapToGrid w:val="0"/>
          <w:color w:val="0C1B27" w:themeColor="text1" w:themeShade="80"/>
          <w:sz w:val="20"/>
          <w:szCs w:val="20"/>
        </w:rPr>
        <w:t>f</w:t>
      </w:r>
      <w:r w:rsidRPr="003606C9">
        <w:rPr>
          <w:rFonts w:ascii="Verdana" w:hAnsi="Verdana"/>
          <w:snapToGrid w:val="0"/>
          <w:color w:val="0C1B27" w:themeColor="text1" w:themeShade="80"/>
          <w:sz w:val="20"/>
          <w:szCs w:val="20"/>
        </w:rPr>
        <w:t>urther analysis</w:t>
      </w:r>
      <w:r w:rsidRPr="003606C9">
        <w:rPr>
          <w:rFonts w:ascii="Verdana" w:hAnsi="Verdana"/>
          <w:snapToGrid w:val="0"/>
          <w:color w:val="0C1B27" w:themeColor="text1" w:themeShade="80"/>
          <w:sz w:val="20"/>
          <w:szCs w:val="20"/>
        </w:rPr>
        <w:t>.</w:t>
      </w:r>
      <w:r w:rsidRPr="003606C9">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In Q1 the Fund received a disbursement </w:t>
      </w:r>
      <w:r>
        <w:rPr>
          <w:rFonts w:ascii="Verdana" w:hAnsi="Verdana"/>
          <w:snapToGrid w:val="0"/>
          <w:color w:val="0C1B27" w:themeColor="text1" w:themeShade="80"/>
          <w:sz w:val="20"/>
          <w:szCs w:val="20"/>
        </w:rPr>
        <w:t xml:space="preserve">of monies </w:t>
      </w:r>
      <w:r>
        <w:rPr>
          <w:rFonts w:ascii="Verdana" w:hAnsi="Verdana"/>
          <w:snapToGrid w:val="0"/>
          <w:color w:val="0C1B27" w:themeColor="text1" w:themeShade="80"/>
          <w:sz w:val="20"/>
          <w:szCs w:val="20"/>
        </w:rPr>
        <w:t>relat</w:t>
      </w:r>
      <w:r>
        <w:rPr>
          <w:rFonts w:ascii="Verdana" w:hAnsi="Verdana"/>
          <w:snapToGrid w:val="0"/>
          <w:color w:val="0C1B27" w:themeColor="text1" w:themeShade="80"/>
          <w:sz w:val="20"/>
          <w:szCs w:val="20"/>
        </w:rPr>
        <w:t>ing</w:t>
      </w:r>
      <w:r>
        <w:rPr>
          <w:rFonts w:ascii="Verdana" w:hAnsi="Verdana"/>
          <w:snapToGrid w:val="0"/>
          <w:color w:val="0C1B27" w:themeColor="text1" w:themeShade="80"/>
          <w:sz w:val="20"/>
          <w:szCs w:val="20"/>
        </w:rPr>
        <w:t xml:space="preserve"> to </w:t>
      </w:r>
      <w:r>
        <w:rPr>
          <w:rFonts w:ascii="Verdana" w:hAnsi="Verdana"/>
          <w:snapToGrid w:val="0"/>
          <w:color w:val="0C1B27" w:themeColor="text1" w:themeShade="80"/>
          <w:sz w:val="20"/>
          <w:szCs w:val="20"/>
        </w:rPr>
        <w:t>one</w:t>
      </w:r>
      <w:r>
        <w:rPr>
          <w:rFonts w:ascii="Verdana" w:hAnsi="Verdana"/>
          <w:snapToGrid w:val="0"/>
          <w:color w:val="0C1B27" w:themeColor="text1" w:themeShade="80"/>
          <w:sz w:val="20"/>
          <w:szCs w:val="20"/>
        </w:rPr>
        <w:t xml:space="preserve"> filed </w:t>
      </w:r>
      <w:r>
        <w:rPr>
          <w:rFonts w:ascii="Verdana" w:hAnsi="Verdana"/>
          <w:snapToGrid w:val="0"/>
          <w:color w:val="0C1B27" w:themeColor="text1" w:themeShade="80"/>
          <w:sz w:val="20"/>
          <w:szCs w:val="20"/>
        </w:rPr>
        <w:t xml:space="preserve">claim that has reached </w:t>
      </w:r>
      <w:r>
        <w:rPr>
          <w:rFonts w:ascii="Verdana" w:hAnsi="Verdana"/>
          <w:snapToGrid w:val="0"/>
          <w:color w:val="0C1B27" w:themeColor="text1" w:themeShade="80"/>
          <w:sz w:val="20"/>
          <w:szCs w:val="20"/>
        </w:rPr>
        <w:t>settle</w:t>
      </w:r>
      <w:r>
        <w:rPr>
          <w:rFonts w:ascii="Verdana" w:hAnsi="Verdana"/>
          <w:snapToGrid w:val="0"/>
          <w:color w:val="0C1B27" w:themeColor="text1" w:themeShade="80"/>
          <w:sz w:val="20"/>
          <w:szCs w:val="20"/>
        </w:rPr>
        <w:t>ment</w:t>
      </w:r>
      <w:r>
        <w:rPr>
          <w:rFonts w:ascii="Verdana" w:hAnsi="Verdana"/>
          <w:snapToGrid w:val="0"/>
          <w:color w:val="0C1B27" w:themeColor="text1" w:themeShade="80"/>
          <w:sz w:val="20"/>
          <w:szCs w:val="20"/>
        </w:rPr>
        <w:t>.</w:t>
      </w:r>
    </w:p>
    <w:p w:rsidR="001C00B7" w:rsidP="00C857CD">
      <w:pPr>
        <w:pStyle w:val="Default"/>
        <w:rPr>
          <w:rFonts w:ascii="Verdana" w:hAnsi="Verdana" w:cs="Arial"/>
          <w:b/>
          <w:bCs/>
          <w:color w:val="54BBAB" w:themeColor="text2"/>
          <w:sz w:val="20"/>
          <w:szCs w:val="20"/>
        </w:rPr>
      </w:pPr>
    </w:p>
    <w:p w:rsidR="00197BA3" w:rsidP="001C00B7">
      <w:pPr>
        <w:pStyle w:val="Default"/>
        <w:rPr>
          <w:rFonts w:ascii="Verdana" w:hAnsi="Verdana" w:cs="Arial"/>
          <w:b/>
          <w:bCs/>
          <w:color w:val="54BBAB" w:themeColor="text2"/>
          <w:sz w:val="20"/>
          <w:szCs w:val="20"/>
        </w:rPr>
      </w:pPr>
      <w:r>
        <w:rPr>
          <w:rFonts w:ascii="Verdana" w:hAnsi="Verdana" w:cs="Arial"/>
          <w:b/>
          <w:bCs/>
          <w:color w:val="54BBAB" w:themeColor="text2"/>
          <w:sz w:val="20"/>
          <w:szCs w:val="20"/>
        </w:rPr>
        <w:t>6.</w:t>
      </w:r>
      <w:r>
        <w:rPr>
          <w:rFonts w:ascii="Verdana" w:hAnsi="Verdana" w:cs="Arial"/>
          <w:b/>
          <w:bCs/>
          <w:color w:val="54BBAB" w:themeColor="text2"/>
          <w:sz w:val="20"/>
          <w:szCs w:val="20"/>
        </w:rPr>
        <w:tab/>
      </w:r>
      <w:r w:rsidRPr="008103F0">
        <w:rPr>
          <w:rFonts w:ascii="Verdana" w:hAnsi="Verdana" w:cs="Arial"/>
          <w:b/>
          <w:bCs/>
          <w:color w:val="54BBAB" w:themeColor="text2"/>
          <w:sz w:val="20"/>
          <w:szCs w:val="20"/>
        </w:rPr>
        <w:t>Active Investing</w:t>
      </w:r>
    </w:p>
    <w:p w:rsidR="00B67A56" w:rsidRPr="00DB514E" w:rsidP="00C857CD">
      <w:pPr>
        <w:spacing w:after="0"/>
        <w:jc w:val="both"/>
        <w:rPr>
          <w:rFonts w:ascii="Verdana" w:hAnsi="Verdana"/>
          <w:bCs/>
          <w:sz w:val="20"/>
          <w:szCs w:val="20"/>
        </w:rPr>
      </w:pPr>
    </w:p>
    <w:p w:rsidR="00AC076D"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The LCPF Responsible Investment Policy describes active investing as the search for sustainable investments which meet LCPF’s requirements for strong returns combined with best practice in ESG and corporate governance.  The Fund </w:t>
      </w:r>
      <w:r w:rsidRPr="003606C9">
        <w:rPr>
          <w:rFonts w:ascii="Verdana" w:hAnsi="Verdana"/>
          <w:snapToGrid w:val="0"/>
          <w:color w:val="0C1B27" w:themeColor="text1" w:themeShade="80"/>
          <w:sz w:val="20"/>
          <w:szCs w:val="20"/>
        </w:rPr>
        <w:t xml:space="preserve">has </w:t>
      </w:r>
      <w:r w:rsidRPr="003606C9">
        <w:rPr>
          <w:rFonts w:ascii="Verdana" w:hAnsi="Verdana"/>
          <w:snapToGrid w:val="0"/>
          <w:color w:val="0C1B27" w:themeColor="text1" w:themeShade="80"/>
          <w:sz w:val="20"/>
          <w:szCs w:val="20"/>
        </w:rPr>
        <w:t xml:space="preserve">not set </w:t>
      </w:r>
      <w:r w:rsidRPr="003606C9">
        <w:rPr>
          <w:rFonts w:ascii="Verdana" w:hAnsi="Verdana"/>
          <w:snapToGrid w:val="0"/>
          <w:color w:val="0C1B27" w:themeColor="text1" w:themeShade="80"/>
          <w:sz w:val="20"/>
          <w:szCs w:val="20"/>
        </w:rPr>
        <w:t xml:space="preserve">allocations for investments within specific sectors </w:t>
      </w:r>
      <w:r>
        <w:rPr>
          <w:rFonts w:ascii="Verdana" w:hAnsi="Verdana"/>
          <w:snapToGrid w:val="0"/>
          <w:color w:val="0C1B27" w:themeColor="text1" w:themeShade="80"/>
          <w:sz w:val="20"/>
          <w:szCs w:val="20"/>
        </w:rPr>
        <w:t xml:space="preserve">or </w:t>
      </w:r>
      <w:r>
        <w:rPr>
          <w:rFonts w:ascii="Verdana" w:hAnsi="Verdana"/>
          <w:snapToGrid w:val="0"/>
          <w:color w:val="0C1B27" w:themeColor="text1" w:themeShade="80"/>
          <w:sz w:val="20"/>
          <w:szCs w:val="20"/>
        </w:rPr>
        <w:t xml:space="preserve">identified </w:t>
      </w:r>
      <w:r>
        <w:rPr>
          <w:rFonts w:ascii="Verdana" w:hAnsi="Verdana"/>
          <w:snapToGrid w:val="0"/>
          <w:color w:val="0C1B27" w:themeColor="text1" w:themeShade="80"/>
          <w:sz w:val="20"/>
          <w:szCs w:val="20"/>
        </w:rPr>
        <w:t xml:space="preserve">impact </w:t>
      </w:r>
      <w:r>
        <w:rPr>
          <w:rFonts w:ascii="Verdana" w:hAnsi="Verdana"/>
          <w:snapToGrid w:val="0"/>
          <w:color w:val="0C1B27" w:themeColor="text1" w:themeShade="80"/>
          <w:sz w:val="20"/>
          <w:szCs w:val="20"/>
        </w:rPr>
        <w:t>themes</w:t>
      </w:r>
      <w:r>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but </w:t>
      </w:r>
      <w:r>
        <w:rPr>
          <w:rFonts w:ascii="Verdana" w:hAnsi="Verdana"/>
          <w:snapToGrid w:val="0"/>
          <w:color w:val="0C1B27" w:themeColor="text1" w:themeShade="80"/>
          <w:sz w:val="20"/>
          <w:szCs w:val="20"/>
        </w:rPr>
        <w:t xml:space="preserve">in </w:t>
      </w:r>
      <w:r>
        <w:rPr>
          <w:rFonts w:ascii="Verdana" w:hAnsi="Verdana"/>
          <w:snapToGrid w:val="0"/>
          <w:color w:val="0C1B27" w:themeColor="text1" w:themeShade="80"/>
          <w:sz w:val="20"/>
          <w:szCs w:val="20"/>
        </w:rPr>
        <w:t xml:space="preserve">general favours investments with positive social outcomes and </w:t>
      </w:r>
      <w:r>
        <w:rPr>
          <w:rFonts w:ascii="Verdana" w:hAnsi="Verdana"/>
          <w:snapToGrid w:val="0"/>
          <w:color w:val="0C1B27" w:themeColor="text1" w:themeShade="80"/>
          <w:sz w:val="20"/>
          <w:szCs w:val="20"/>
        </w:rPr>
        <w:t xml:space="preserve">has expressed an interest in understanding </w:t>
      </w:r>
      <w:r>
        <w:rPr>
          <w:rFonts w:ascii="Verdana" w:hAnsi="Verdana"/>
          <w:snapToGrid w:val="0"/>
          <w:color w:val="0C1B27" w:themeColor="text1" w:themeShade="80"/>
          <w:sz w:val="20"/>
          <w:szCs w:val="20"/>
        </w:rPr>
        <w:t xml:space="preserve">where </w:t>
      </w:r>
      <w:r>
        <w:rPr>
          <w:rFonts w:ascii="Verdana" w:hAnsi="Verdana"/>
          <w:snapToGrid w:val="0"/>
          <w:color w:val="0C1B27" w:themeColor="text1" w:themeShade="80"/>
          <w:sz w:val="20"/>
          <w:szCs w:val="20"/>
        </w:rPr>
        <w:t xml:space="preserve">current </w:t>
      </w:r>
      <w:r>
        <w:rPr>
          <w:rFonts w:ascii="Verdana" w:hAnsi="Verdana"/>
          <w:snapToGrid w:val="0"/>
          <w:color w:val="0C1B27" w:themeColor="text1" w:themeShade="80"/>
          <w:sz w:val="20"/>
          <w:szCs w:val="20"/>
        </w:rPr>
        <w:t xml:space="preserve">investments are </w:t>
      </w:r>
      <w:r>
        <w:rPr>
          <w:rFonts w:ascii="Verdana" w:hAnsi="Verdana"/>
          <w:snapToGrid w:val="0"/>
          <w:color w:val="0C1B27" w:themeColor="text1" w:themeShade="80"/>
          <w:sz w:val="20"/>
          <w:szCs w:val="20"/>
        </w:rPr>
        <w:t>deliver</w:t>
      </w:r>
      <w:r>
        <w:rPr>
          <w:rFonts w:ascii="Verdana" w:hAnsi="Verdana"/>
          <w:snapToGrid w:val="0"/>
          <w:color w:val="0C1B27" w:themeColor="text1" w:themeShade="80"/>
          <w:sz w:val="20"/>
          <w:szCs w:val="20"/>
        </w:rPr>
        <w:t>ing</w:t>
      </w:r>
      <w:r>
        <w:rPr>
          <w:rFonts w:ascii="Verdana" w:hAnsi="Verdana"/>
          <w:snapToGrid w:val="0"/>
          <w:color w:val="0C1B27" w:themeColor="text1" w:themeShade="80"/>
          <w:sz w:val="20"/>
          <w:szCs w:val="20"/>
        </w:rPr>
        <w:t xml:space="preserve"> social </w:t>
      </w:r>
      <w:r>
        <w:rPr>
          <w:rFonts w:ascii="Verdana" w:hAnsi="Verdana"/>
          <w:snapToGrid w:val="0"/>
          <w:color w:val="0C1B27" w:themeColor="text1" w:themeShade="80"/>
          <w:sz w:val="20"/>
          <w:szCs w:val="20"/>
        </w:rPr>
        <w:t>benefit</w:t>
      </w:r>
      <w:r>
        <w:rPr>
          <w:rFonts w:ascii="Verdana" w:hAnsi="Verdana"/>
          <w:snapToGrid w:val="0"/>
          <w:color w:val="0C1B27" w:themeColor="text1" w:themeShade="80"/>
          <w:sz w:val="20"/>
          <w:szCs w:val="20"/>
        </w:rPr>
        <w:t>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in addi</w:t>
      </w:r>
      <w:r>
        <w:rPr>
          <w:rFonts w:ascii="Verdana" w:hAnsi="Verdana"/>
          <w:snapToGrid w:val="0"/>
          <w:color w:val="0C1B27" w:themeColor="text1" w:themeShade="80"/>
          <w:sz w:val="20"/>
          <w:szCs w:val="20"/>
        </w:rPr>
        <w:t>tion</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to </w:t>
      </w:r>
      <w:r>
        <w:rPr>
          <w:rFonts w:ascii="Verdana" w:hAnsi="Verdana"/>
          <w:snapToGrid w:val="0"/>
          <w:color w:val="0C1B27" w:themeColor="text1" w:themeShade="80"/>
          <w:sz w:val="20"/>
          <w:szCs w:val="20"/>
        </w:rPr>
        <w:t>generating investment returns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Examples </w:t>
      </w:r>
      <w:r>
        <w:rPr>
          <w:rFonts w:ascii="Verdana" w:hAnsi="Verdana"/>
          <w:snapToGrid w:val="0"/>
          <w:color w:val="0C1B27" w:themeColor="text1" w:themeShade="80"/>
          <w:sz w:val="20"/>
          <w:szCs w:val="20"/>
        </w:rPr>
        <w:t xml:space="preserve">of socially positive investments </w:t>
      </w:r>
      <w:r>
        <w:rPr>
          <w:rFonts w:ascii="Verdana" w:hAnsi="Verdana"/>
          <w:snapToGrid w:val="0"/>
          <w:color w:val="0C1B27" w:themeColor="text1" w:themeShade="80"/>
          <w:sz w:val="20"/>
          <w:szCs w:val="20"/>
        </w:rPr>
        <w:t>are available from across the asset classes the fund invests in.</w:t>
      </w:r>
    </w:p>
    <w:p w:rsidR="0034387C" w:rsidP="00AC076D">
      <w:pPr>
        <w:spacing w:after="0"/>
        <w:rPr>
          <w:rFonts w:ascii="Verdana" w:hAnsi="Verdana"/>
          <w:snapToGrid w:val="0"/>
          <w:color w:val="0C1B27" w:themeColor="text1" w:themeShade="80"/>
          <w:sz w:val="20"/>
          <w:szCs w:val="20"/>
        </w:rPr>
      </w:pPr>
    </w:p>
    <w:p w:rsidR="00C83A59" w:rsidRPr="009839B0" w:rsidP="00AC076D">
      <w:pPr>
        <w:spacing w:after="0"/>
        <w:rPr>
          <w:rFonts w:ascii="Verdana" w:hAnsi="Verdana"/>
          <w:b/>
          <w:snapToGrid w:val="0"/>
          <w:color w:val="0C1B27" w:themeColor="text1" w:themeShade="80"/>
          <w:sz w:val="20"/>
          <w:szCs w:val="20"/>
        </w:rPr>
      </w:pPr>
      <w:r w:rsidRPr="009839B0">
        <w:rPr>
          <w:rFonts w:ascii="Verdana" w:hAnsi="Verdana"/>
          <w:b/>
          <w:snapToGrid w:val="0"/>
          <w:color w:val="0C1B27" w:themeColor="text1" w:themeShade="80"/>
          <w:sz w:val="20"/>
          <w:szCs w:val="20"/>
        </w:rPr>
        <w:t xml:space="preserve">Case Study: Private Equity </w:t>
      </w:r>
      <w:r w:rsidRPr="009839B0">
        <w:rPr>
          <w:rFonts w:ascii="Verdana" w:hAnsi="Verdana"/>
          <w:b/>
          <w:snapToGrid w:val="0"/>
          <w:color w:val="0C1B27" w:themeColor="text1" w:themeShade="80"/>
          <w:sz w:val="20"/>
          <w:szCs w:val="20"/>
        </w:rPr>
        <w:t>–</w:t>
      </w:r>
      <w:r w:rsidRPr="009839B0">
        <w:rPr>
          <w:rFonts w:ascii="Verdana" w:hAnsi="Verdana"/>
          <w:b/>
          <w:snapToGrid w:val="0"/>
          <w:color w:val="0C1B27" w:themeColor="text1" w:themeShade="80"/>
          <w:sz w:val="20"/>
          <w:szCs w:val="20"/>
        </w:rPr>
        <w:t xml:space="preserve"> </w:t>
      </w:r>
      <w:r w:rsidRPr="009839B0">
        <w:rPr>
          <w:rFonts w:ascii="Verdana" w:hAnsi="Verdana"/>
          <w:b/>
          <w:snapToGrid w:val="0"/>
          <w:color w:val="0C1B27" w:themeColor="text1" w:themeShade="80"/>
          <w:sz w:val="20"/>
          <w:szCs w:val="20"/>
        </w:rPr>
        <w:t xml:space="preserve">Investing in </w:t>
      </w:r>
      <w:r w:rsidRPr="009839B0">
        <w:rPr>
          <w:rFonts w:ascii="Verdana" w:hAnsi="Verdana"/>
          <w:b/>
          <w:snapToGrid w:val="0"/>
          <w:color w:val="0C1B27" w:themeColor="text1" w:themeShade="80"/>
          <w:sz w:val="20"/>
          <w:szCs w:val="20"/>
        </w:rPr>
        <w:t>Healthcare</w:t>
      </w:r>
      <w:r w:rsidRPr="009839B0">
        <w:rPr>
          <w:rFonts w:ascii="Verdana" w:hAnsi="Verdana"/>
          <w:b/>
          <w:snapToGrid w:val="0"/>
          <w:color w:val="0C1B27" w:themeColor="text1" w:themeShade="80"/>
          <w:sz w:val="20"/>
          <w:szCs w:val="20"/>
        </w:rPr>
        <w:t xml:space="preserve"> (SDG 3)</w:t>
      </w:r>
    </w:p>
    <w:p w:rsidR="00743320" w:rsidP="00AC076D">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LCPF’s strategic asset allocation to Private </w:t>
      </w:r>
      <w:r>
        <w:rPr>
          <w:rFonts w:ascii="Verdana" w:hAnsi="Verdana"/>
          <w:snapToGrid w:val="0"/>
          <w:color w:val="0C1B27" w:themeColor="text1" w:themeShade="80"/>
          <w:sz w:val="20"/>
          <w:szCs w:val="20"/>
        </w:rPr>
        <w:t>Equity is 5% of the portfolio.</w:t>
      </w:r>
    </w:p>
    <w:p w:rsidR="00743320" w:rsidP="00AC076D">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13% of </w:t>
      </w:r>
      <w:r>
        <w:rPr>
          <w:rFonts w:ascii="Verdana" w:hAnsi="Verdana"/>
          <w:snapToGrid w:val="0"/>
          <w:color w:val="0C1B27" w:themeColor="text1" w:themeShade="80"/>
          <w:sz w:val="20"/>
          <w:szCs w:val="20"/>
        </w:rPr>
        <w:t xml:space="preserve">the Fund’s </w:t>
      </w:r>
      <w:r>
        <w:rPr>
          <w:rFonts w:ascii="Verdana" w:hAnsi="Verdana"/>
          <w:snapToGrid w:val="0"/>
          <w:color w:val="0C1B27" w:themeColor="text1" w:themeShade="80"/>
          <w:sz w:val="20"/>
          <w:szCs w:val="20"/>
        </w:rPr>
        <w:t xml:space="preserve">current private equity investments are in </w:t>
      </w:r>
      <w:r>
        <w:rPr>
          <w:rFonts w:ascii="Verdana" w:hAnsi="Verdana"/>
          <w:snapToGrid w:val="0"/>
          <w:color w:val="0C1B27" w:themeColor="text1" w:themeShade="80"/>
          <w:sz w:val="20"/>
          <w:szCs w:val="20"/>
        </w:rPr>
        <w:t xml:space="preserve">the </w:t>
      </w:r>
      <w:r>
        <w:rPr>
          <w:rFonts w:ascii="Verdana" w:hAnsi="Verdana"/>
          <w:snapToGrid w:val="0"/>
          <w:color w:val="0C1B27" w:themeColor="text1" w:themeShade="80"/>
          <w:sz w:val="20"/>
          <w:szCs w:val="20"/>
        </w:rPr>
        <w:t>health care</w:t>
      </w:r>
      <w:r>
        <w:rPr>
          <w:rFonts w:ascii="Verdana" w:hAnsi="Verdana"/>
          <w:snapToGrid w:val="0"/>
          <w:color w:val="0C1B27" w:themeColor="text1" w:themeShade="80"/>
          <w:sz w:val="20"/>
          <w:szCs w:val="20"/>
        </w:rPr>
        <w:t xml:space="preserve"> sector</w:t>
      </w:r>
      <w:r>
        <w:rPr>
          <w:rFonts w:ascii="Verdana" w:hAnsi="Verdana"/>
          <w:snapToGrid w:val="0"/>
          <w:color w:val="0C1B27" w:themeColor="text1" w:themeShade="80"/>
          <w:sz w:val="20"/>
          <w:szCs w:val="20"/>
        </w:rPr>
        <w:t>.</w:t>
      </w:r>
    </w:p>
    <w:p w:rsidR="009839B0" w:rsidP="00AC076D">
      <w:pPr>
        <w:spacing w:after="0"/>
        <w:rPr>
          <w:rFonts w:ascii="Verdana" w:hAnsi="Verdana"/>
          <w:snapToGrid w:val="0"/>
          <w:color w:val="0C1B27" w:themeColor="text1" w:themeShade="80"/>
          <w:sz w:val="20"/>
          <w:szCs w:val="20"/>
        </w:rPr>
      </w:pPr>
    </w:p>
    <w:p w:rsidR="006A3E76" w:rsidP="00AC076D">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w:t>
      </w:r>
      <w:r>
        <w:rPr>
          <w:rFonts w:ascii="Verdana" w:hAnsi="Verdana"/>
          <w:snapToGrid w:val="0"/>
          <w:color w:val="0C1B27" w:themeColor="text1" w:themeShade="80"/>
          <w:sz w:val="20"/>
          <w:szCs w:val="20"/>
        </w:rPr>
        <w:t xml:space="preserve">hrough managers </w:t>
      </w:r>
      <w:r>
        <w:rPr>
          <w:rFonts w:ascii="Verdana" w:hAnsi="Verdana"/>
          <w:snapToGrid w:val="0"/>
          <w:color w:val="0C1B27" w:themeColor="text1" w:themeShade="80"/>
          <w:sz w:val="20"/>
          <w:szCs w:val="20"/>
        </w:rPr>
        <w:t>Advent Life Sciences and Endeavour Vision</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LCPF is investing in private equity funds </w:t>
      </w:r>
      <w:r>
        <w:rPr>
          <w:rFonts w:ascii="Verdana" w:hAnsi="Verdana"/>
          <w:snapToGrid w:val="0"/>
          <w:color w:val="0C1B27" w:themeColor="text1" w:themeShade="80"/>
          <w:sz w:val="20"/>
          <w:szCs w:val="20"/>
        </w:rPr>
        <w:t xml:space="preserve">which </w:t>
      </w:r>
      <w:r>
        <w:rPr>
          <w:rFonts w:ascii="Verdana" w:hAnsi="Verdana"/>
          <w:snapToGrid w:val="0"/>
          <w:color w:val="0C1B27" w:themeColor="text1" w:themeShade="80"/>
          <w:sz w:val="20"/>
          <w:szCs w:val="20"/>
        </w:rPr>
        <w:t xml:space="preserve">partner and </w:t>
      </w:r>
      <w:r>
        <w:rPr>
          <w:rFonts w:ascii="Verdana" w:hAnsi="Verdana"/>
          <w:snapToGrid w:val="0"/>
          <w:color w:val="0C1B27" w:themeColor="text1" w:themeShade="80"/>
          <w:sz w:val="20"/>
          <w:szCs w:val="20"/>
        </w:rPr>
        <w:t>provid</w:t>
      </w:r>
      <w:r>
        <w:rPr>
          <w:rFonts w:ascii="Verdana" w:hAnsi="Verdana"/>
          <w:snapToGrid w:val="0"/>
          <w:color w:val="0C1B27" w:themeColor="text1" w:themeShade="80"/>
          <w:sz w:val="20"/>
          <w:szCs w:val="20"/>
        </w:rPr>
        <w:t>e</w:t>
      </w:r>
      <w:r>
        <w:rPr>
          <w:rFonts w:ascii="Verdana" w:hAnsi="Verdana"/>
          <w:snapToGrid w:val="0"/>
          <w:color w:val="0C1B27" w:themeColor="text1" w:themeShade="80"/>
          <w:sz w:val="20"/>
          <w:szCs w:val="20"/>
        </w:rPr>
        <w:t xml:space="preserve"> development capital to specialist companies </w:t>
      </w:r>
      <w:r w:rsidRPr="006A3E76">
        <w:rPr>
          <w:rFonts w:ascii="Verdana" w:hAnsi="Verdana"/>
          <w:snapToGrid w:val="0"/>
          <w:color w:val="0C1B27" w:themeColor="text1" w:themeShade="80"/>
          <w:sz w:val="20"/>
          <w:szCs w:val="20"/>
        </w:rPr>
        <w:t xml:space="preserve">turning break-through science into approved medicines </w:t>
      </w:r>
      <w:r>
        <w:rPr>
          <w:rFonts w:ascii="Verdana" w:hAnsi="Verdana"/>
          <w:snapToGrid w:val="0"/>
          <w:color w:val="0C1B27" w:themeColor="text1" w:themeShade="80"/>
          <w:sz w:val="20"/>
          <w:szCs w:val="20"/>
        </w:rPr>
        <w:t>and</w:t>
      </w:r>
      <w:r w:rsidRPr="006A3E76">
        <w:rPr>
          <w:rFonts w:ascii="Verdana" w:hAnsi="Verdana"/>
          <w:snapToGrid w:val="0"/>
          <w:color w:val="0C1B27" w:themeColor="text1" w:themeShade="80"/>
          <w:sz w:val="20"/>
          <w:szCs w:val="20"/>
        </w:rPr>
        <w:t xml:space="preserve"> medical products.</w:t>
      </w:r>
    </w:p>
    <w:p w:rsidR="001F7C2C" w:rsidP="001F7C2C">
      <w:pPr>
        <w:spacing w:after="0"/>
        <w:rPr>
          <w:rFonts w:ascii="Verdana" w:hAnsi="Verdana"/>
          <w:snapToGrid w:val="0"/>
          <w:color w:val="0C1B27" w:themeColor="text1" w:themeShade="80"/>
          <w:sz w:val="20"/>
          <w:szCs w:val="20"/>
        </w:rPr>
      </w:pPr>
    </w:p>
    <w:p w:rsidR="001F7C2C" w:rsidRPr="00AB0ABA" w:rsidP="001F7C2C">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The Endeavour </w:t>
      </w:r>
      <w:r>
        <w:rPr>
          <w:rFonts w:ascii="Verdana" w:hAnsi="Verdana"/>
          <w:snapToGrid w:val="0"/>
          <w:color w:val="0C1B27" w:themeColor="text1" w:themeShade="80"/>
          <w:sz w:val="20"/>
          <w:szCs w:val="20"/>
        </w:rPr>
        <w:t>Medtech</w:t>
      </w:r>
      <w:r>
        <w:rPr>
          <w:rFonts w:ascii="Verdana" w:hAnsi="Verdana"/>
          <w:snapToGrid w:val="0"/>
          <w:color w:val="0C1B27" w:themeColor="text1" w:themeShade="80"/>
          <w:sz w:val="20"/>
          <w:szCs w:val="20"/>
        </w:rPr>
        <w:t xml:space="preserve"> Growth Fund has</w:t>
      </w:r>
      <w:r>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invested in 12 med</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tech companies</w:t>
      </w:r>
      <w:r w:rsidRPr="00AB0ABA">
        <w:rPr>
          <w:rFonts w:ascii="Verdana" w:hAnsi="Verdana"/>
          <w:snapToGrid w:val="0"/>
          <w:color w:val="0C1B27" w:themeColor="text1" w:themeShade="80"/>
          <w:sz w:val="20"/>
          <w:szCs w:val="20"/>
        </w:rPr>
        <w:t xml:space="preserve"> to date, </w:t>
      </w:r>
      <w:r w:rsidRPr="00AB0ABA">
        <w:rPr>
          <w:rFonts w:ascii="Verdana" w:hAnsi="Verdana"/>
          <w:snapToGrid w:val="0"/>
          <w:color w:val="0C1B27" w:themeColor="text1" w:themeShade="80"/>
          <w:sz w:val="20"/>
          <w:szCs w:val="20"/>
        </w:rPr>
        <w:t>with a total inves</w:t>
      </w:r>
      <w:bookmarkStart w:id="1" w:name="_GoBack"/>
      <w:bookmarkEnd w:id="1"/>
      <w:r w:rsidRPr="00AB0ABA">
        <w:rPr>
          <w:rFonts w:ascii="Verdana" w:hAnsi="Verdana"/>
          <w:snapToGrid w:val="0"/>
          <w:color w:val="0C1B27" w:themeColor="text1" w:themeShade="80"/>
          <w:sz w:val="20"/>
          <w:szCs w:val="20"/>
        </w:rPr>
        <w:t xml:space="preserve">tment value of over EUR 115 million. </w:t>
      </w:r>
      <w:r w:rsidRPr="00AB0ABA">
        <w:rPr>
          <w:rFonts w:ascii="Verdana" w:hAnsi="Verdana"/>
          <w:snapToGrid w:val="0"/>
          <w:color w:val="0C1B27" w:themeColor="text1" w:themeShade="80"/>
          <w:sz w:val="20"/>
          <w:szCs w:val="20"/>
        </w:rPr>
        <w:t>C</w:t>
      </w:r>
      <w:r w:rsidRPr="00AB0ABA">
        <w:rPr>
          <w:rFonts w:ascii="Verdana" w:hAnsi="Verdana"/>
          <w:snapToGrid w:val="0"/>
          <w:color w:val="0C1B27" w:themeColor="text1" w:themeShade="80"/>
          <w:sz w:val="20"/>
          <w:szCs w:val="20"/>
        </w:rPr>
        <w:t xml:space="preserve">ompanies include </w:t>
      </w:r>
      <w:r w:rsidRPr="00AB0ABA">
        <w:rPr>
          <w:rFonts w:ascii="Verdana" w:hAnsi="Verdana"/>
          <w:snapToGrid w:val="0"/>
          <w:color w:val="0C1B27" w:themeColor="text1" w:themeShade="80"/>
          <w:sz w:val="20"/>
          <w:szCs w:val="20"/>
        </w:rPr>
        <w:t>Symetis</w:t>
      </w:r>
      <w:r w:rsidRPr="00AB0ABA">
        <w:rPr>
          <w:rFonts w:ascii="Verdana" w:hAnsi="Verdana"/>
          <w:snapToGrid w:val="0"/>
          <w:color w:val="0C1B27" w:themeColor="text1" w:themeShade="80"/>
          <w:sz w:val="20"/>
          <w:szCs w:val="20"/>
        </w:rPr>
        <w:t xml:space="preserve">, creator of next generation heart valve replacement solutions that offer an alternative to high-risk open-heart surgery; </w:t>
      </w:r>
      <w:r w:rsidRPr="00AB0ABA">
        <w:rPr>
          <w:rFonts w:ascii="Verdana" w:hAnsi="Verdana"/>
          <w:snapToGrid w:val="0"/>
          <w:color w:val="0C1B27" w:themeColor="text1" w:themeShade="80"/>
          <w:sz w:val="20"/>
          <w:szCs w:val="20"/>
        </w:rPr>
        <w:t>Gynesonics</w:t>
      </w:r>
      <w:r w:rsidRPr="00AB0ABA">
        <w:rPr>
          <w:rFonts w:ascii="Verdana" w:hAnsi="Verdana"/>
          <w:snapToGrid w:val="0"/>
          <w:color w:val="0C1B27" w:themeColor="text1" w:themeShade="80"/>
          <w:sz w:val="20"/>
          <w:szCs w:val="20"/>
        </w:rPr>
        <w:t>, a ground-breaking treatment for uterine fi</w:t>
      </w:r>
      <w:r w:rsidRPr="00AB0ABA">
        <w:rPr>
          <w:rFonts w:ascii="Verdana" w:hAnsi="Verdana"/>
          <w:snapToGrid w:val="0"/>
          <w:color w:val="0C1B27" w:themeColor="text1" w:themeShade="80"/>
          <w:sz w:val="20"/>
          <w:szCs w:val="20"/>
        </w:rPr>
        <w:t>broids without the need for a hysterectomy</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preserving the ability to conceive</w:t>
      </w:r>
      <w:r w:rsidRPr="00AB0ABA">
        <w:rPr>
          <w:rFonts w:ascii="Verdana" w:hAnsi="Verdana"/>
          <w:snapToGrid w:val="0"/>
          <w:color w:val="0C1B27" w:themeColor="text1" w:themeShade="80"/>
          <w:sz w:val="20"/>
          <w:szCs w:val="20"/>
        </w:rPr>
        <w:t>)</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Vertiflex</w:t>
      </w:r>
      <w:r w:rsidRPr="00AB0ABA">
        <w:rPr>
          <w:rFonts w:ascii="Verdana" w:hAnsi="Verdana"/>
          <w:snapToGrid w:val="0"/>
          <w:color w:val="0C1B27" w:themeColor="text1" w:themeShade="80"/>
          <w:sz w:val="20"/>
          <w:szCs w:val="20"/>
        </w:rPr>
        <w:t>, developers of a minimally invasive device to reduce pain and improve mobility for patients suffering a painful narrowing of the spinal canal (lumbar spinal stenosis</w:t>
      </w:r>
      <w:r w:rsidRPr="00AB0ABA">
        <w:rPr>
          <w:rFonts w:ascii="Verdana" w:hAnsi="Verdana"/>
          <w:snapToGrid w:val="0"/>
          <w:color w:val="0C1B27" w:themeColor="text1" w:themeShade="80"/>
          <w:sz w:val="20"/>
          <w:szCs w:val="20"/>
        </w:rPr>
        <w:t xml:space="preserve">) and </w:t>
      </w:r>
      <w:r w:rsidRPr="00AB0ABA">
        <w:rPr>
          <w:rFonts w:ascii="Verdana" w:hAnsi="Verdana"/>
          <w:snapToGrid w:val="0"/>
          <w:color w:val="0C1B27" w:themeColor="text1" w:themeShade="80"/>
          <w:sz w:val="20"/>
          <w:szCs w:val="20"/>
        </w:rPr>
        <w:t>Relievant</w:t>
      </w:r>
      <w:r w:rsidRPr="00AB0ABA">
        <w:rPr>
          <w:rFonts w:ascii="Verdana" w:hAnsi="Verdana"/>
          <w:snapToGrid w:val="0"/>
          <w:color w:val="0C1B27" w:themeColor="text1" w:themeShade="80"/>
          <w:sz w:val="20"/>
          <w:szCs w:val="20"/>
        </w:rPr>
        <w:t>, a new system focused on a specific form of chronic low back pain which eliminates the need for patients to use opioids and have spinal injections.</w:t>
      </w:r>
    </w:p>
    <w:p w:rsidR="006A3E76" w:rsidP="00AC076D">
      <w:pPr>
        <w:spacing w:after="0"/>
        <w:rPr>
          <w:rFonts w:ascii="Verdana" w:hAnsi="Verdana"/>
          <w:snapToGrid w:val="0"/>
          <w:color w:val="0C1B27" w:themeColor="text1" w:themeShade="80"/>
          <w:sz w:val="20"/>
          <w:szCs w:val="20"/>
        </w:rPr>
      </w:pPr>
    </w:p>
    <w:p w:rsidR="0096522D" w:rsidRPr="00AB0ABA" w:rsidP="00AC076D">
      <w:pPr>
        <w:spacing w:after="0"/>
        <w:rPr>
          <w:rFonts w:ascii="Verdana" w:hAnsi="Verdana"/>
          <w:snapToGrid w:val="0"/>
          <w:color w:val="0C1B27" w:themeColor="text1" w:themeShade="80"/>
          <w:sz w:val="20"/>
          <w:szCs w:val="20"/>
        </w:rPr>
      </w:pPr>
      <w:r w:rsidRPr="00AB0ABA">
        <w:rPr>
          <w:rFonts w:ascii="Verdana" w:hAnsi="Verdana"/>
          <w:snapToGrid w:val="0"/>
          <w:color w:val="0C1B27" w:themeColor="text1" w:themeShade="80"/>
          <w:sz w:val="20"/>
          <w:szCs w:val="20"/>
        </w:rPr>
        <w:t>Advent Life Sciences ha</w:t>
      </w:r>
      <w:r w:rsidRPr="00AB0ABA">
        <w:rPr>
          <w:rFonts w:ascii="Verdana" w:hAnsi="Verdana"/>
          <w:snapToGrid w:val="0"/>
          <w:color w:val="0C1B27" w:themeColor="text1" w:themeShade="80"/>
          <w:sz w:val="20"/>
          <w:szCs w:val="20"/>
        </w:rPr>
        <w:t xml:space="preserve">ve </w:t>
      </w:r>
      <w:r w:rsidRPr="00AB0ABA">
        <w:rPr>
          <w:rFonts w:ascii="Verdana" w:hAnsi="Verdana"/>
          <w:snapToGrid w:val="0"/>
          <w:color w:val="0C1B27" w:themeColor="text1" w:themeShade="80"/>
          <w:sz w:val="20"/>
          <w:szCs w:val="20"/>
        </w:rPr>
        <w:t xml:space="preserve">invested over £300m into early stage drug and device development </w:t>
      </w:r>
      <w:r w:rsidRPr="00AB0ABA">
        <w:rPr>
          <w:rFonts w:ascii="Verdana" w:hAnsi="Verdana"/>
          <w:snapToGrid w:val="0"/>
          <w:color w:val="0C1B27" w:themeColor="text1" w:themeShade="80"/>
          <w:sz w:val="20"/>
          <w:szCs w:val="20"/>
        </w:rPr>
        <w:t xml:space="preserve">over the last ten years, contributing to 14 regulatory approvals (innovative science translated into approved medicines or products).  </w:t>
      </w:r>
      <w:r w:rsidRPr="00AB0ABA">
        <w:rPr>
          <w:rFonts w:ascii="Verdana" w:hAnsi="Verdana"/>
          <w:snapToGrid w:val="0"/>
          <w:color w:val="0C1B27" w:themeColor="text1" w:themeShade="80"/>
          <w:sz w:val="20"/>
          <w:szCs w:val="20"/>
        </w:rPr>
        <w:t xml:space="preserve">Examples include </w:t>
      </w:r>
      <w:r w:rsidRPr="00AB0ABA">
        <w:rPr>
          <w:rFonts w:ascii="Verdana" w:hAnsi="Verdana"/>
          <w:snapToGrid w:val="0"/>
          <w:color w:val="0C1B27" w:themeColor="text1" w:themeShade="80"/>
          <w:sz w:val="20"/>
          <w:szCs w:val="20"/>
        </w:rPr>
        <w:t>UniQure’s</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Glybera</w:t>
      </w:r>
      <w:r w:rsidRPr="00AB0ABA">
        <w:rPr>
          <w:rFonts w:ascii="Verdana" w:hAnsi="Verdana"/>
          <w:snapToGrid w:val="0"/>
          <w:color w:val="0C1B27" w:themeColor="text1" w:themeShade="80"/>
          <w:sz w:val="20"/>
          <w:szCs w:val="20"/>
        </w:rPr>
        <w:t xml:space="preserve"> drug </w:t>
      </w:r>
      <w:r w:rsidRPr="00AB0ABA">
        <w:rPr>
          <w:rFonts w:ascii="Verdana" w:hAnsi="Verdana"/>
          <w:snapToGrid w:val="0"/>
          <w:color w:val="0C1B27" w:themeColor="text1" w:themeShade="80"/>
          <w:sz w:val="20"/>
          <w:szCs w:val="20"/>
        </w:rPr>
        <w:t>(</w:t>
      </w:r>
      <w:r w:rsidRPr="00AB0ABA">
        <w:rPr>
          <w:rFonts w:ascii="Verdana" w:hAnsi="Verdana"/>
          <w:snapToGrid w:val="0"/>
          <w:color w:val="0C1B27" w:themeColor="text1" w:themeShade="80"/>
          <w:sz w:val="20"/>
          <w:szCs w:val="20"/>
        </w:rPr>
        <w:t>the first gene therapy approved by the European Medicines Agency</w:t>
      </w:r>
      <w:r w:rsidRPr="00AB0ABA">
        <w:rPr>
          <w:rFonts w:ascii="Verdana" w:hAnsi="Verdana"/>
          <w:snapToGrid w:val="0"/>
          <w:color w:val="0C1B27" w:themeColor="text1" w:themeShade="80"/>
          <w:sz w:val="20"/>
          <w:szCs w:val="20"/>
        </w:rPr>
        <w:t>)</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 xml:space="preserve">and </w:t>
      </w:r>
      <w:r w:rsidRPr="00AB0ABA">
        <w:rPr>
          <w:rFonts w:ascii="Verdana" w:hAnsi="Verdana"/>
          <w:snapToGrid w:val="0"/>
          <w:color w:val="0C1B27" w:themeColor="text1" w:themeShade="80"/>
          <w:sz w:val="20"/>
          <w:szCs w:val="20"/>
        </w:rPr>
        <w:t>CardiAQ</w:t>
      </w:r>
      <w:r w:rsidRPr="00AB0ABA">
        <w:rPr>
          <w:rFonts w:ascii="Verdana" w:hAnsi="Verdana"/>
          <w:snapToGrid w:val="0"/>
          <w:color w:val="0C1B27" w:themeColor="text1" w:themeShade="80"/>
          <w:sz w:val="20"/>
          <w:szCs w:val="20"/>
        </w:rPr>
        <w:t xml:space="preserve"> Va</w:t>
      </w:r>
      <w:r w:rsidRPr="00AB0ABA">
        <w:rPr>
          <w:rFonts w:ascii="Verdana" w:hAnsi="Verdana"/>
          <w:snapToGrid w:val="0"/>
          <w:color w:val="0C1B27" w:themeColor="text1" w:themeShade="80"/>
          <w:sz w:val="20"/>
          <w:szCs w:val="20"/>
        </w:rPr>
        <w:t>lve Technologies’</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 xml:space="preserve">minimally invasive valve replacement </w:t>
      </w:r>
      <w:r w:rsidRPr="00AB0ABA">
        <w:rPr>
          <w:rFonts w:ascii="Verdana" w:hAnsi="Verdana"/>
          <w:snapToGrid w:val="0"/>
          <w:color w:val="0C1B27" w:themeColor="text1" w:themeShade="80"/>
          <w:sz w:val="20"/>
          <w:szCs w:val="20"/>
        </w:rPr>
        <w:t xml:space="preserve">which </w:t>
      </w:r>
      <w:r w:rsidRPr="00AB0ABA">
        <w:rPr>
          <w:rFonts w:ascii="Verdana" w:hAnsi="Verdana"/>
          <w:snapToGrid w:val="0"/>
          <w:color w:val="0C1B27" w:themeColor="text1" w:themeShade="80"/>
          <w:sz w:val="20"/>
          <w:szCs w:val="20"/>
        </w:rPr>
        <w:t xml:space="preserve">provides an alternative to open heart surgery. Currently Advent is </w:t>
      </w:r>
      <w:r>
        <w:rPr>
          <w:rFonts w:ascii="Verdana" w:hAnsi="Verdana"/>
          <w:snapToGrid w:val="0"/>
          <w:color w:val="0C1B27" w:themeColor="text1" w:themeShade="80"/>
          <w:sz w:val="20"/>
          <w:szCs w:val="20"/>
        </w:rPr>
        <w:t xml:space="preserve">seeking to </w:t>
      </w:r>
      <w:r w:rsidRPr="00AB0ABA">
        <w:rPr>
          <w:rFonts w:ascii="Verdana" w:hAnsi="Verdana"/>
          <w:snapToGrid w:val="0"/>
          <w:color w:val="0C1B27" w:themeColor="text1" w:themeShade="80"/>
          <w:sz w:val="20"/>
          <w:szCs w:val="20"/>
        </w:rPr>
        <w:t>contribut</w:t>
      </w:r>
      <w:r>
        <w:rPr>
          <w:rFonts w:ascii="Verdana" w:hAnsi="Verdana"/>
          <w:snapToGrid w:val="0"/>
          <w:color w:val="0C1B27" w:themeColor="text1" w:themeShade="80"/>
          <w:sz w:val="20"/>
          <w:szCs w:val="20"/>
        </w:rPr>
        <w:t>e</w:t>
      </w:r>
      <w:r w:rsidRPr="00AB0ABA">
        <w:rPr>
          <w:rFonts w:ascii="Verdana" w:hAnsi="Verdana"/>
          <w:snapToGrid w:val="0"/>
          <w:color w:val="0C1B27" w:themeColor="text1" w:themeShade="80"/>
          <w:sz w:val="20"/>
          <w:szCs w:val="20"/>
        </w:rPr>
        <w:t xml:space="preserve"> to the relief of social pressures </w:t>
      </w:r>
      <w:r w:rsidRPr="00AB0ABA">
        <w:rPr>
          <w:rFonts w:ascii="Verdana" w:hAnsi="Verdana"/>
          <w:snapToGrid w:val="0"/>
          <w:color w:val="0C1B27" w:themeColor="text1" w:themeShade="80"/>
          <w:sz w:val="20"/>
          <w:szCs w:val="20"/>
        </w:rPr>
        <w:t xml:space="preserve">through innovations </w:t>
      </w:r>
      <w:r>
        <w:rPr>
          <w:rFonts w:ascii="Verdana" w:hAnsi="Verdana"/>
          <w:snapToGrid w:val="0"/>
          <w:color w:val="0C1B27" w:themeColor="text1" w:themeShade="80"/>
          <w:sz w:val="20"/>
          <w:szCs w:val="20"/>
        </w:rPr>
        <w:t>which</w:t>
      </w:r>
      <w:r w:rsidRPr="00AB0ABA">
        <w:rPr>
          <w:rFonts w:ascii="Verdana" w:hAnsi="Verdana"/>
          <w:snapToGrid w:val="0"/>
          <w:color w:val="0C1B27" w:themeColor="text1" w:themeShade="80"/>
          <w:sz w:val="20"/>
          <w:szCs w:val="20"/>
        </w:rPr>
        <w:t xml:space="preserve"> </w:t>
      </w:r>
      <w:r w:rsidRPr="00AB0ABA">
        <w:rPr>
          <w:rFonts w:ascii="Verdana" w:hAnsi="Verdana"/>
          <w:snapToGrid w:val="0"/>
          <w:color w:val="0C1B27" w:themeColor="text1" w:themeShade="80"/>
          <w:sz w:val="20"/>
          <w:szCs w:val="20"/>
        </w:rPr>
        <w:t>address drug resistant bacteria, pain manageme</w:t>
      </w:r>
      <w:r w:rsidRPr="00AB0ABA">
        <w:rPr>
          <w:rFonts w:ascii="Verdana" w:hAnsi="Verdana"/>
          <w:snapToGrid w:val="0"/>
          <w:color w:val="0C1B27" w:themeColor="text1" w:themeShade="80"/>
          <w:sz w:val="20"/>
          <w:szCs w:val="20"/>
        </w:rPr>
        <w:t>nt solutions to reduce opioid usage and developments in cancer immunotherapies.</w:t>
      </w:r>
    </w:p>
    <w:p w:rsidR="0096522D" w:rsidP="00AC076D">
      <w:pPr>
        <w:spacing w:after="0"/>
        <w:rPr>
          <w:rFonts w:ascii="Verdana" w:hAnsi="Verdana"/>
          <w:snapToGrid w:val="0"/>
          <w:color w:val="0C1B27" w:themeColor="text1" w:themeShade="80"/>
          <w:sz w:val="20"/>
          <w:szCs w:val="20"/>
        </w:rPr>
      </w:pPr>
    </w:p>
    <w:p w:rsidR="00DA5F01" w:rsidRPr="00DA5F01" w:rsidP="00DA5F01">
      <w:pPr>
        <w:spacing w:after="0"/>
        <w:rPr>
          <w:rFonts w:ascii="Verdana" w:hAnsi="Verdana"/>
          <w:snapToGrid w:val="0"/>
          <w:color w:val="0C1B27" w:themeColor="text1" w:themeShade="80"/>
          <w:sz w:val="20"/>
          <w:szCs w:val="20"/>
        </w:rPr>
      </w:pPr>
      <w:r w:rsidRPr="00DA5F01">
        <w:rPr>
          <w:rFonts w:ascii="Verdana" w:hAnsi="Verdana"/>
          <w:snapToGrid w:val="0"/>
          <w:color w:val="0C1B27" w:themeColor="text1" w:themeShade="80"/>
          <w:sz w:val="20"/>
          <w:szCs w:val="20"/>
        </w:rPr>
        <w:t xml:space="preserve">LCPF made a EUR 25m commitment (GBP 18m) to the Endeavour </w:t>
      </w:r>
      <w:r w:rsidRPr="00DA5F01">
        <w:rPr>
          <w:rFonts w:ascii="Verdana" w:hAnsi="Verdana"/>
          <w:snapToGrid w:val="0"/>
          <w:color w:val="0C1B27" w:themeColor="text1" w:themeShade="80"/>
          <w:sz w:val="20"/>
          <w:szCs w:val="20"/>
        </w:rPr>
        <w:t>Medtech</w:t>
      </w:r>
      <w:r w:rsidRPr="00DA5F01">
        <w:rPr>
          <w:rFonts w:ascii="Verdana" w:hAnsi="Verdana"/>
          <w:snapToGrid w:val="0"/>
          <w:color w:val="0C1B27" w:themeColor="text1" w:themeShade="80"/>
          <w:sz w:val="20"/>
          <w:szCs w:val="20"/>
        </w:rPr>
        <w:t xml:space="preserve"> Growth Fund in 2014 and invests in two funds managed by Advent Life Sciences. The first </w:t>
      </w:r>
      <w:r>
        <w:rPr>
          <w:rFonts w:ascii="Verdana" w:hAnsi="Verdana"/>
          <w:snapToGrid w:val="0"/>
          <w:color w:val="0C1B27" w:themeColor="text1" w:themeShade="80"/>
          <w:sz w:val="20"/>
          <w:szCs w:val="20"/>
        </w:rPr>
        <w:t xml:space="preserve">(Fund II) </w:t>
      </w:r>
      <w:r w:rsidRPr="00DA5F01">
        <w:rPr>
          <w:rFonts w:ascii="Verdana" w:hAnsi="Verdana"/>
          <w:snapToGrid w:val="0"/>
          <w:color w:val="0C1B27" w:themeColor="text1" w:themeShade="80"/>
          <w:sz w:val="20"/>
          <w:szCs w:val="20"/>
        </w:rPr>
        <w:t xml:space="preserve">comprises a commitment of GBP 20m made in 2015 and the second </w:t>
      </w:r>
      <w:r>
        <w:rPr>
          <w:rFonts w:ascii="Verdana" w:hAnsi="Verdana"/>
          <w:snapToGrid w:val="0"/>
          <w:color w:val="0C1B27" w:themeColor="text1" w:themeShade="80"/>
          <w:sz w:val="20"/>
          <w:szCs w:val="20"/>
        </w:rPr>
        <w:t xml:space="preserve">(Fund III) </w:t>
      </w:r>
      <w:r w:rsidRPr="00DA5F01">
        <w:rPr>
          <w:rFonts w:ascii="Verdana" w:hAnsi="Verdana"/>
          <w:snapToGrid w:val="0"/>
          <w:color w:val="0C1B27" w:themeColor="text1" w:themeShade="80"/>
          <w:sz w:val="20"/>
          <w:szCs w:val="20"/>
        </w:rPr>
        <w:t xml:space="preserve">a commitment of GBP 15m made in December 2018. </w:t>
      </w:r>
    </w:p>
    <w:p w:rsidR="00204F51" w:rsidP="00AC076D">
      <w:pPr>
        <w:spacing w:after="0"/>
        <w:rPr>
          <w:rFonts w:ascii="Verdana" w:hAnsi="Verdana"/>
          <w:snapToGrid w:val="0"/>
          <w:color w:val="0C1B27" w:themeColor="text1" w:themeShade="80"/>
          <w:sz w:val="20"/>
          <w:szCs w:val="20"/>
        </w:rPr>
      </w:pPr>
    </w:p>
    <w:p w:rsidR="0034387C" w:rsidP="00AC076D">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The focus of </w:t>
      </w:r>
      <w:r>
        <w:rPr>
          <w:rFonts w:ascii="Verdana" w:hAnsi="Verdana"/>
          <w:snapToGrid w:val="0"/>
          <w:color w:val="0C1B27" w:themeColor="text1" w:themeShade="80"/>
          <w:sz w:val="20"/>
          <w:szCs w:val="20"/>
        </w:rPr>
        <w:t xml:space="preserve">UN </w:t>
      </w:r>
      <w:r>
        <w:rPr>
          <w:rFonts w:ascii="Verdana" w:hAnsi="Verdana"/>
          <w:snapToGrid w:val="0"/>
          <w:color w:val="0C1B27" w:themeColor="text1" w:themeShade="80"/>
          <w:sz w:val="20"/>
          <w:szCs w:val="20"/>
        </w:rPr>
        <w:t xml:space="preserve">Sustainable Development Goal </w:t>
      </w:r>
      <w:r>
        <w:rPr>
          <w:rFonts w:ascii="Verdana" w:hAnsi="Verdana"/>
          <w:snapToGrid w:val="0"/>
          <w:color w:val="0C1B27" w:themeColor="text1" w:themeShade="80"/>
          <w:sz w:val="20"/>
          <w:szCs w:val="20"/>
        </w:rPr>
        <w:t xml:space="preserve">3 </w:t>
      </w:r>
      <w:r>
        <w:rPr>
          <w:rFonts w:ascii="Verdana" w:hAnsi="Verdana"/>
          <w:snapToGrid w:val="0"/>
          <w:color w:val="0C1B27" w:themeColor="text1" w:themeShade="80"/>
          <w:sz w:val="20"/>
          <w:szCs w:val="20"/>
        </w:rPr>
        <w:t>is to</w:t>
      </w:r>
      <w:r w:rsidRPr="009839B0">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e</w:t>
      </w:r>
      <w:r w:rsidRPr="00AB0E3A">
        <w:rPr>
          <w:rFonts w:ascii="Verdana" w:hAnsi="Verdana"/>
          <w:snapToGrid w:val="0"/>
          <w:color w:val="0C1B27" w:themeColor="text1" w:themeShade="80"/>
          <w:sz w:val="20"/>
          <w:szCs w:val="20"/>
        </w:rPr>
        <w:t>nsure healthy lives and promote well-being for all at all ages</w:t>
      </w:r>
      <w:r>
        <w:rPr>
          <w:rFonts w:ascii="Verdana" w:hAnsi="Verdana"/>
          <w:snapToGrid w:val="0"/>
          <w:color w:val="0C1B27" w:themeColor="text1" w:themeShade="80"/>
          <w:sz w:val="20"/>
          <w:szCs w:val="20"/>
        </w:rPr>
        <w:t>. SDG 3</w:t>
      </w:r>
      <w:r>
        <w:rPr>
          <w:rFonts w:ascii="Verdana" w:hAnsi="Verdana"/>
          <w:snapToGrid w:val="0"/>
          <w:color w:val="0C1B27" w:themeColor="text1" w:themeShade="80"/>
          <w:sz w:val="20"/>
          <w:szCs w:val="20"/>
        </w:rPr>
        <w:t xml:space="preserve"> includes a</w:t>
      </w:r>
      <w:r>
        <w:rPr>
          <w:rFonts w:ascii="Verdana" w:hAnsi="Verdana"/>
          <w:snapToGrid w:val="0"/>
          <w:color w:val="0C1B27" w:themeColor="text1" w:themeShade="80"/>
          <w:sz w:val="20"/>
          <w:szCs w:val="20"/>
        </w:rPr>
        <w:t xml:space="preserve"> target (3.1) to </w:t>
      </w:r>
      <w:r w:rsidRPr="00AB0E3A">
        <w:rPr>
          <w:rFonts w:ascii="Verdana" w:hAnsi="Verdana"/>
          <w:snapToGrid w:val="0"/>
          <w:color w:val="0C1B27" w:themeColor="text1" w:themeShade="80"/>
          <w:sz w:val="20"/>
          <w:szCs w:val="20"/>
        </w:rPr>
        <w:t xml:space="preserve">reduce premature mortality from non-communicable diseases by one third </w:t>
      </w:r>
      <w:r>
        <w:rPr>
          <w:rFonts w:ascii="Verdana" w:hAnsi="Verdana"/>
          <w:snapToGrid w:val="0"/>
          <w:color w:val="0C1B27" w:themeColor="text1" w:themeShade="80"/>
          <w:sz w:val="20"/>
          <w:szCs w:val="20"/>
        </w:rPr>
        <w:t>b</w:t>
      </w:r>
      <w:r w:rsidRPr="00AB0E3A">
        <w:rPr>
          <w:rFonts w:ascii="Verdana" w:hAnsi="Verdana"/>
          <w:snapToGrid w:val="0"/>
          <w:color w:val="0C1B27" w:themeColor="text1" w:themeShade="80"/>
          <w:sz w:val="20"/>
          <w:szCs w:val="20"/>
        </w:rPr>
        <w:t xml:space="preserve">y 2030, </w:t>
      </w:r>
      <w:r>
        <w:rPr>
          <w:rFonts w:ascii="Verdana" w:hAnsi="Verdana"/>
          <w:snapToGrid w:val="0"/>
          <w:color w:val="0C1B27" w:themeColor="text1" w:themeShade="80"/>
          <w:sz w:val="20"/>
          <w:szCs w:val="20"/>
        </w:rPr>
        <w:t>an</w:t>
      </w:r>
      <w:r>
        <w:rPr>
          <w:rFonts w:ascii="Verdana" w:hAnsi="Verdana"/>
          <w:snapToGrid w:val="0"/>
          <w:color w:val="0C1B27" w:themeColor="text1" w:themeShade="80"/>
          <w:sz w:val="20"/>
          <w:szCs w:val="20"/>
        </w:rPr>
        <w:t>d an accompanying</w:t>
      </w:r>
      <w:r>
        <w:rPr>
          <w:rFonts w:ascii="Verdana" w:hAnsi="Verdana"/>
          <w:snapToGrid w:val="0"/>
          <w:color w:val="0C1B27" w:themeColor="text1" w:themeShade="80"/>
          <w:sz w:val="20"/>
          <w:szCs w:val="20"/>
        </w:rPr>
        <w:t xml:space="preserve"> indicator (3.1.4) </w:t>
      </w:r>
      <w:r>
        <w:rPr>
          <w:rFonts w:ascii="Verdana" w:hAnsi="Verdana"/>
          <w:snapToGrid w:val="0"/>
          <w:color w:val="0C1B27" w:themeColor="text1" w:themeShade="80"/>
          <w:sz w:val="20"/>
          <w:szCs w:val="20"/>
        </w:rPr>
        <w:t xml:space="preserve">related to the </w:t>
      </w:r>
      <w:r w:rsidRPr="009839B0">
        <w:rPr>
          <w:rFonts w:ascii="Verdana" w:hAnsi="Verdana"/>
          <w:snapToGrid w:val="0"/>
          <w:color w:val="0C1B27" w:themeColor="text1" w:themeShade="80"/>
          <w:sz w:val="20"/>
          <w:szCs w:val="20"/>
        </w:rPr>
        <w:t xml:space="preserve">mortality rate attributable to cardiovascular disease, cancer, diabetes </w:t>
      </w:r>
      <w:r>
        <w:rPr>
          <w:rFonts w:ascii="Verdana" w:hAnsi="Verdana"/>
          <w:snapToGrid w:val="0"/>
          <w:color w:val="0C1B27" w:themeColor="text1" w:themeShade="80"/>
          <w:sz w:val="20"/>
          <w:szCs w:val="20"/>
        </w:rPr>
        <w:t>and</w:t>
      </w:r>
      <w:r w:rsidRPr="009839B0">
        <w:rPr>
          <w:rFonts w:ascii="Verdana" w:hAnsi="Verdana"/>
          <w:snapToGrid w:val="0"/>
          <w:color w:val="0C1B27" w:themeColor="text1" w:themeShade="80"/>
          <w:sz w:val="20"/>
          <w:szCs w:val="20"/>
        </w:rPr>
        <w:t xml:space="preserve"> chronic respiratory disease</w:t>
      </w:r>
      <w:r>
        <w:rPr>
          <w:rFonts w:ascii="Verdana" w:hAnsi="Verdana"/>
          <w:snapToGrid w:val="0"/>
          <w:color w:val="0C1B27" w:themeColor="text1" w:themeShade="80"/>
          <w:sz w:val="20"/>
          <w:szCs w:val="20"/>
        </w:rPr>
        <w:t>.</w:t>
      </w:r>
      <w:r w:rsidRPr="009839B0">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LCPF’s private equity i</w:t>
      </w:r>
      <w:r>
        <w:rPr>
          <w:rFonts w:ascii="Verdana" w:hAnsi="Verdana"/>
          <w:snapToGrid w:val="0"/>
          <w:color w:val="0C1B27" w:themeColor="text1" w:themeShade="80"/>
          <w:sz w:val="20"/>
          <w:szCs w:val="20"/>
        </w:rPr>
        <w:t xml:space="preserve">nvestments in healthcare innovation are contributing </w:t>
      </w:r>
      <w:r>
        <w:rPr>
          <w:rFonts w:ascii="Verdana" w:hAnsi="Verdana"/>
          <w:snapToGrid w:val="0"/>
          <w:color w:val="0C1B27" w:themeColor="text1" w:themeShade="80"/>
          <w:sz w:val="20"/>
          <w:szCs w:val="20"/>
        </w:rPr>
        <w:t xml:space="preserve">both </w:t>
      </w:r>
      <w:r>
        <w:rPr>
          <w:rFonts w:ascii="Verdana" w:hAnsi="Verdana"/>
          <w:snapToGrid w:val="0"/>
          <w:color w:val="0C1B27" w:themeColor="text1" w:themeShade="80"/>
          <w:sz w:val="20"/>
          <w:szCs w:val="20"/>
        </w:rPr>
        <w:t>generally</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and</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in some cases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directly</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to</w:t>
      </w:r>
      <w:r>
        <w:rPr>
          <w:rFonts w:ascii="Verdana" w:hAnsi="Verdana"/>
          <w:snapToGrid w:val="0"/>
          <w:color w:val="0C1B27" w:themeColor="text1" w:themeShade="80"/>
          <w:sz w:val="20"/>
          <w:szCs w:val="20"/>
        </w:rPr>
        <w:t xml:space="preserve"> progress against </w:t>
      </w:r>
      <w:r>
        <w:rPr>
          <w:rFonts w:ascii="Verdana" w:hAnsi="Verdana"/>
          <w:snapToGrid w:val="0"/>
          <w:color w:val="0C1B27" w:themeColor="text1" w:themeShade="80"/>
          <w:sz w:val="20"/>
          <w:szCs w:val="20"/>
        </w:rPr>
        <w:t>SDG 3.</w:t>
      </w:r>
    </w:p>
    <w:p w:rsidR="00F75DEC" w:rsidP="00AC076D">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  </w:t>
      </w:r>
    </w:p>
    <w:p w:rsidR="00CC6FE1" w:rsidP="009839B0">
      <w:pPr>
        <w:spacing w:after="0"/>
        <w:rPr>
          <w:rFonts w:ascii="Verdana" w:hAnsi="Verdana"/>
          <w:snapToGrid w:val="0"/>
          <w:color w:val="0C1B27" w:themeColor="text1" w:themeShade="80"/>
          <w:sz w:val="20"/>
          <w:szCs w:val="20"/>
        </w:rPr>
      </w:pPr>
    </w:p>
    <w:p w:rsidR="00026080" w:rsidRPr="000B7136" w:rsidP="000B7136">
      <w:pPr>
        <w:rPr>
          <w:rFonts w:ascii="Verdana" w:hAnsi="Verdana" w:cs="Arial"/>
          <w:b/>
          <w:bCs/>
          <w:color w:val="183850" w:themeColor="text1"/>
          <w:sz w:val="20"/>
          <w:szCs w:val="20"/>
        </w:rPr>
      </w:pPr>
      <w:r w:rsidRPr="00026080">
        <w:rPr>
          <w:rFonts w:ascii="Verdana" w:hAnsi="Verdana" w:cs="Arial"/>
          <w:b/>
          <w:bCs/>
          <w:color w:val="183850" w:themeColor="text1"/>
          <w:sz w:val="20"/>
          <w:szCs w:val="20"/>
        </w:rPr>
        <w:t>Other Insights</w:t>
      </w:r>
    </w:p>
    <w:p w:rsidR="00026080" w:rsidRPr="00026080" w:rsidP="00026080">
      <w:pPr>
        <w:pStyle w:val="ListParagraph"/>
        <w:numPr>
          <w:ilvl w:val="0"/>
          <w:numId w:val="6"/>
        </w:numPr>
        <w:spacing w:after="0"/>
        <w:rPr>
          <w:rFonts w:ascii="Verdana" w:hAnsi="Verdana"/>
          <w:snapToGrid w:val="0"/>
          <w:color w:val="0C1B27" w:themeColor="text1" w:themeShade="80"/>
          <w:sz w:val="20"/>
          <w:szCs w:val="20"/>
        </w:rPr>
      </w:pPr>
      <w:r>
        <w:rPr>
          <w:rFonts w:ascii="Verdana" w:hAnsi="Verdana"/>
          <w:sz w:val="20"/>
          <w:szCs w:val="20"/>
        </w:rPr>
        <w:t xml:space="preserve">FRC </w:t>
      </w:r>
      <w:r w:rsidRPr="00026080">
        <w:rPr>
          <w:rFonts w:ascii="Verdana" w:hAnsi="Verdana"/>
          <w:sz w:val="20"/>
          <w:szCs w:val="20"/>
        </w:rPr>
        <w:t>Consultation: Proposed Revision to the UK Stewardship Code</w:t>
      </w:r>
      <w:r>
        <w:rPr>
          <w:rFonts w:ascii="Verdana" w:hAnsi="Verdana"/>
          <w:sz w:val="20"/>
          <w:szCs w:val="20"/>
        </w:rPr>
        <w:t xml:space="preserve"> (Update)</w:t>
      </w:r>
    </w:p>
    <w:p w:rsidR="00026080" w:rsidP="00026080">
      <w:pPr>
        <w:spacing w:after="0"/>
        <w:rPr>
          <w:rFonts w:ascii="Verdana" w:hAnsi="Verdana"/>
          <w:snapToGrid w:val="0"/>
          <w:color w:val="0C1B27" w:themeColor="text1" w:themeShade="80"/>
          <w:sz w:val="20"/>
          <w:szCs w:val="20"/>
        </w:rPr>
      </w:pPr>
    </w:p>
    <w:p w:rsidR="0067165E" w:rsidP="0067165E">
      <w:pPr>
        <w:spacing w:after="0"/>
      </w:pPr>
      <w:r>
        <w:rPr>
          <w:rFonts w:ascii="Verdana" w:hAnsi="Verdana"/>
          <w:snapToGrid w:val="0"/>
          <w:color w:val="0C1B27" w:themeColor="text1" w:themeShade="80"/>
          <w:sz w:val="20"/>
          <w:szCs w:val="20"/>
        </w:rPr>
        <w:t xml:space="preserve">As reported to the Committee at its last meeting, </w:t>
      </w:r>
      <w:r w:rsidRPr="00026080">
        <w:rPr>
          <w:rFonts w:ascii="Verdana" w:hAnsi="Verdana"/>
          <w:snapToGrid w:val="0"/>
          <w:color w:val="0C1B27" w:themeColor="text1" w:themeShade="80"/>
          <w:sz w:val="20"/>
          <w:szCs w:val="20"/>
        </w:rPr>
        <w:t xml:space="preserve">a consultation on </w:t>
      </w:r>
      <w:r>
        <w:rPr>
          <w:rFonts w:ascii="Verdana" w:hAnsi="Verdana"/>
          <w:snapToGrid w:val="0"/>
          <w:color w:val="0C1B27" w:themeColor="text1" w:themeShade="80"/>
          <w:sz w:val="20"/>
          <w:szCs w:val="20"/>
        </w:rPr>
        <w:t xml:space="preserve">a revised </w:t>
      </w:r>
      <w:r w:rsidRPr="00026080">
        <w:rPr>
          <w:rFonts w:ascii="Verdana" w:hAnsi="Verdana"/>
          <w:snapToGrid w:val="0"/>
          <w:color w:val="0C1B27" w:themeColor="text1" w:themeShade="80"/>
          <w:sz w:val="20"/>
          <w:szCs w:val="20"/>
        </w:rPr>
        <w:t>UK Stewardship Code</w:t>
      </w:r>
      <w:r w:rsidRPr="000B7136">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ran </w:t>
      </w:r>
      <w:r>
        <w:rPr>
          <w:rFonts w:ascii="Verdana" w:hAnsi="Verdana"/>
          <w:snapToGrid w:val="0"/>
          <w:color w:val="0C1B27" w:themeColor="text1" w:themeShade="80"/>
          <w:sz w:val="20"/>
          <w:szCs w:val="20"/>
        </w:rPr>
        <w:t>between</w:t>
      </w:r>
      <w:r w:rsidRPr="00026080">
        <w:rPr>
          <w:rFonts w:ascii="Verdana" w:hAnsi="Verdana"/>
          <w:snapToGrid w:val="0"/>
          <w:color w:val="0C1B27" w:themeColor="text1" w:themeShade="80"/>
          <w:sz w:val="20"/>
          <w:szCs w:val="20"/>
        </w:rPr>
        <w:t xml:space="preserve"> 30 January 2019</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and</w:t>
      </w:r>
      <w:r>
        <w:rPr>
          <w:rFonts w:ascii="Verdana" w:hAnsi="Verdana"/>
          <w:snapToGrid w:val="0"/>
          <w:color w:val="0C1B27" w:themeColor="text1" w:themeShade="80"/>
          <w:sz w:val="20"/>
          <w:szCs w:val="20"/>
        </w:rPr>
        <w:t xml:space="preserve"> 29 March 2019</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LPP made a response to the consultation which is publicly available from the FRC website </w:t>
      </w:r>
    </w:p>
    <w:p w:rsidR="0067165E" w:rsidP="0067165E">
      <w:pPr>
        <w:spacing w:after="0"/>
        <w:rPr>
          <w:color w:val="0070C0"/>
        </w:rPr>
      </w:pPr>
      <w:r>
        <w:fldChar w:fldCharType="begin"/>
      </w:r>
      <w:r>
        <w:instrText xml:space="preserve"> HYPERLINK "https://www.frc.org.uk/consultation-list/2019/consulting-on-a-revised-uk-stewardship-code" </w:instrText>
      </w:r>
      <w:r>
        <w:fldChar w:fldCharType="separate"/>
      </w:r>
      <w:r w:rsidRPr="00026080">
        <w:rPr>
          <w:color w:val="0070C0"/>
        </w:rPr>
        <w:t>here</w:t>
      </w:r>
      <w:r>
        <w:fldChar w:fldCharType="end"/>
      </w:r>
      <w:r w:rsidRPr="00026080">
        <w:rPr>
          <w:color w:val="0070C0"/>
        </w:rPr>
        <w:t>.</w:t>
      </w:r>
    </w:p>
    <w:p w:rsidR="0067165E" w:rsidP="00026080">
      <w:pPr>
        <w:spacing w:after="0"/>
        <w:rPr>
          <w:rFonts w:ascii="Verdana" w:hAnsi="Verdana"/>
          <w:snapToGrid w:val="0"/>
          <w:color w:val="0C1B27" w:themeColor="text1" w:themeShade="80"/>
          <w:sz w:val="20"/>
          <w:szCs w:val="20"/>
        </w:rPr>
      </w:pPr>
    </w:p>
    <w:p w:rsidR="004C76A3" w:rsidRPr="004C76A3"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The p</w:t>
      </w:r>
      <w:r>
        <w:rPr>
          <w:rFonts w:ascii="Verdana" w:hAnsi="Verdana"/>
          <w:snapToGrid w:val="0"/>
          <w:color w:val="0C1B27" w:themeColor="text1" w:themeShade="80"/>
          <w:sz w:val="20"/>
          <w:szCs w:val="20"/>
        </w:rPr>
        <w:t xml:space="preserve">roposals </w:t>
      </w:r>
      <w:r>
        <w:rPr>
          <w:rFonts w:ascii="Verdana" w:hAnsi="Verdana"/>
          <w:snapToGrid w:val="0"/>
          <w:color w:val="0C1B27" w:themeColor="text1" w:themeShade="80"/>
          <w:sz w:val="20"/>
          <w:szCs w:val="20"/>
        </w:rPr>
        <w:t xml:space="preserve">to revise the current code </w:t>
      </w:r>
      <w:r>
        <w:rPr>
          <w:rFonts w:ascii="Verdana" w:hAnsi="Verdana"/>
          <w:snapToGrid w:val="0"/>
          <w:color w:val="0C1B27" w:themeColor="text1" w:themeShade="80"/>
          <w:sz w:val="20"/>
          <w:szCs w:val="20"/>
        </w:rPr>
        <w:t xml:space="preserve">outline a more </w:t>
      </w:r>
      <w:r>
        <w:rPr>
          <w:rFonts w:ascii="Verdana" w:hAnsi="Verdana"/>
          <w:snapToGrid w:val="0"/>
          <w:color w:val="0C1B27" w:themeColor="text1" w:themeShade="80"/>
          <w:sz w:val="20"/>
          <w:szCs w:val="20"/>
        </w:rPr>
        <w:t xml:space="preserve">stretching and </w:t>
      </w:r>
      <w:r>
        <w:rPr>
          <w:rFonts w:ascii="Verdana" w:hAnsi="Verdana"/>
          <w:snapToGrid w:val="0"/>
          <w:color w:val="0C1B27" w:themeColor="text1" w:themeShade="80"/>
          <w:sz w:val="20"/>
          <w:szCs w:val="20"/>
        </w:rPr>
        <w:t xml:space="preserve">rigorous </w:t>
      </w:r>
      <w:r>
        <w:rPr>
          <w:rFonts w:ascii="Verdana" w:hAnsi="Verdana"/>
          <w:snapToGrid w:val="0"/>
          <w:color w:val="0C1B27" w:themeColor="text1" w:themeShade="80"/>
          <w:sz w:val="20"/>
          <w:szCs w:val="20"/>
        </w:rPr>
        <w:t xml:space="preserve">reporting regime which </w:t>
      </w:r>
      <w:r>
        <w:rPr>
          <w:rFonts w:ascii="Verdana" w:hAnsi="Verdana"/>
          <w:snapToGrid w:val="0"/>
          <w:color w:val="0C1B27" w:themeColor="text1" w:themeShade="80"/>
          <w:sz w:val="20"/>
          <w:szCs w:val="20"/>
        </w:rPr>
        <w:t xml:space="preserve">has </w:t>
      </w:r>
      <w:r>
        <w:rPr>
          <w:rFonts w:ascii="Verdana" w:hAnsi="Verdana"/>
          <w:snapToGrid w:val="0"/>
          <w:color w:val="0C1B27" w:themeColor="text1" w:themeShade="80"/>
          <w:sz w:val="20"/>
          <w:szCs w:val="20"/>
        </w:rPr>
        <w:t xml:space="preserve">intentionally </w:t>
      </w:r>
      <w:r>
        <w:rPr>
          <w:rFonts w:ascii="Verdana" w:hAnsi="Verdana"/>
          <w:snapToGrid w:val="0"/>
          <w:color w:val="0C1B27" w:themeColor="text1" w:themeShade="80"/>
          <w:sz w:val="20"/>
          <w:szCs w:val="20"/>
        </w:rPr>
        <w:t>go</w:t>
      </w:r>
      <w:r>
        <w:rPr>
          <w:rFonts w:ascii="Verdana" w:hAnsi="Verdana"/>
          <w:snapToGrid w:val="0"/>
          <w:color w:val="0C1B27" w:themeColor="text1" w:themeShade="80"/>
          <w:sz w:val="20"/>
          <w:szCs w:val="20"/>
        </w:rPr>
        <w:t>ne</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beyond</w:t>
      </w:r>
      <w:r>
        <w:rPr>
          <w:rFonts w:ascii="Verdana" w:hAnsi="Verdana"/>
          <w:snapToGrid w:val="0"/>
          <w:color w:val="0C1B27" w:themeColor="text1" w:themeShade="80"/>
          <w:sz w:val="20"/>
          <w:szCs w:val="20"/>
        </w:rPr>
        <w:t xml:space="preserve"> requiremen</w:t>
      </w:r>
      <w:r>
        <w:rPr>
          <w:rFonts w:ascii="Verdana" w:hAnsi="Verdana"/>
          <w:snapToGrid w:val="0"/>
          <w:color w:val="0C1B27" w:themeColor="text1" w:themeShade="80"/>
          <w:sz w:val="20"/>
          <w:szCs w:val="20"/>
        </w:rPr>
        <w:t xml:space="preserve">ts </w:t>
      </w:r>
      <w:r>
        <w:rPr>
          <w:rFonts w:ascii="Verdana" w:hAnsi="Verdana"/>
          <w:snapToGrid w:val="0"/>
          <w:color w:val="0C1B27" w:themeColor="text1" w:themeShade="80"/>
          <w:sz w:val="20"/>
          <w:szCs w:val="20"/>
        </w:rPr>
        <w:t xml:space="preserve">specified within </w:t>
      </w:r>
      <w:r>
        <w:rPr>
          <w:rFonts w:ascii="Verdana" w:hAnsi="Verdana"/>
          <w:snapToGrid w:val="0"/>
          <w:color w:val="0C1B27" w:themeColor="text1" w:themeShade="80"/>
          <w:sz w:val="20"/>
          <w:szCs w:val="20"/>
        </w:rPr>
        <w:t>the revised Shareholder Rights Directive</w:t>
      </w:r>
      <w:r>
        <w:rPr>
          <w:rFonts w:ascii="Verdana" w:hAnsi="Verdana"/>
          <w:snapToGrid w:val="0"/>
          <w:color w:val="0C1B27" w:themeColor="text1" w:themeShade="80"/>
          <w:sz w:val="20"/>
          <w:szCs w:val="20"/>
        </w:rPr>
        <w:t>. This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reflects that </w:t>
      </w:r>
      <w:r w:rsidRPr="004C76A3">
        <w:rPr>
          <w:rFonts w:ascii="Verdana" w:hAnsi="Verdana"/>
          <w:snapToGrid w:val="0"/>
          <w:color w:val="0C1B27" w:themeColor="text1" w:themeShade="80"/>
          <w:sz w:val="20"/>
          <w:szCs w:val="20"/>
        </w:rPr>
        <w:t>e</w:t>
      </w:r>
      <w:r w:rsidRPr="004C76A3">
        <w:rPr>
          <w:rFonts w:ascii="Verdana" w:hAnsi="Verdana"/>
          <w:snapToGrid w:val="0"/>
          <w:color w:val="0C1B27" w:themeColor="text1" w:themeShade="80"/>
          <w:sz w:val="20"/>
          <w:szCs w:val="20"/>
        </w:rPr>
        <w:t xml:space="preserve">ffective stewardship </w:t>
      </w:r>
      <w:r>
        <w:rPr>
          <w:rFonts w:ascii="Verdana" w:hAnsi="Verdana"/>
          <w:snapToGrid w:val="0"/>
          <w:color w:val="0C1B27" w:themeColor="text1" w:themeShade="80"/>
          <w:sz w:val="20"/>
          <w:szCs w:val="20"/>
        </w:rPr>
        <w:t xml:space="preserve">is </w:t>
      </w:r>
      <w:r>
        <w:rPr>
          <w:rFonts w:ascii="Verdana" w:hAnsi="Verdana"/>
          <w:snapToGrid w:val="0"/>
          <w:color w:val="0C1B27" w:themeColor="text1" w:themeShade="80"/>
          <w:sz w:val="20"/>
          <w:szCs w:val="20"/>
        </w:rPr>
        <w:t xml:space="preserve">being </w:t>
      </w:r>
      <w:r>
        <w:rPr>
          <w:rFonts w:ascii="Verdana" w:hAnsi="Verdana"/>
          <w:snapToGrid w:val="0"/>
          <w:color w:val="0C1B27" w:themeColor="text1" w:themeShade="80"/>
          <w:sz w:val="20"/>
          <w:szCs w:val="20"/>
        </w:rPr>
        <w:t xml:space="preserve">identified </w:t>
      </w:r>
      <w:r>
        <w:rPr>
          <w:rFonts w:ascii="Verdana" w:hAnsi="Verdana"/>
          <w:snapToGrid w:val="0"/>
          <w:color w:val="0C1B27" w:themeColor="text1" w:themeShade="80"/>
          <w:sz w:val="20"/>
          <w:szCs w:val="20"/>
        </w:rPr>
        <w:t>a</w:t>
      </w:r>
      <w:r w:rsidRPr="004C76A3">
        <w:rPr>
          <w:rFonts w:ascii="Verdana" w:hAnsi="Verdana"/>
          <w:snapToGrid w:val="0"/>
          <w:color w:val="0C1B27" w:themeColor="text1" w:themeShade="80"/>
          <w:sz w:val="20"/>
          <w:szCs w:val="20"/>
        </w:rPr>
        <w:t>s an important part of institutional investors' responsibilities to their clients</w:t>
      </w:r>
      <w:r w:rsidRPr="004C76A3">
        <w:rPr>
          <w:rFonts w:ascii="Verdana" w:hAnsi="Verdana"/>
          <w:snapToGrid w:val="0"/>
          <w:color w:val="0C1B27" w:themeColor="text1" w:themeShade="80"/>
          <w:sz w:val="20"/>
          <w:szCs w:val="20"/>
        </w:rPr>
        <w:t xml:space="preserve">. </w:t>
      </w:r>
      <w:r w:rsidRPr="004C76A3">
        <w:rPr>
          <w:rFonts w:ascii="Verdana" w:hAnsi="Verdana"/>
          <w:snapToGrid w:val="0"/>
          <w:color w:val="0C1B27" w:themeColor="text1" w:themeShade="80"/>
          <w:sz w:val="20"/>
          <w:szCs w:val="20"/>
        </w:rPr>
        <w:t xml:space="preserve"> </w:t>
      </w:r>
    </w:p>
    <w:p w:rsidR="004C76A3" w:rsidP="00026080">
      <w:pPr>
        <w:spacing w:after="0"/>
        <w:rPr>
          <w:i/>
        </w:rPr>
      </w:pPr>
    </w:p>
    <w:p w:rsidR="00026080" w:rsidRPr="004C76A3" w:rsidP="00026080">
      <w:pPr>
        <w:spacing w:after="0"/>
        <w:rPr>
          <w:rFonts w:ascii="Verdana" w:hAnsi="Verdana"/>
          <w:snapToGrid w:val="0"/>
          <w:color w:val="0C1B27" w:themeColor="text1" w:themeShade="80"/>
          <w:sz w:val="20"/>
          <w:szCs w:val="20"/>
        </w:rPr>
      </w:pPr>
      <w:r>
        <w:rPr>
          <w:i/>
        </w:rPr>
        <w:t>T</w:t>
      </w:r>
      <w:r w:rsidRPr="00026080">
        <w:rPr>
          <w:i/>
        </w:rPr>
        <w:t xml:space="preserve">he draft 2019 Code is an integral part of the UK's overall corporate governance framework. It </w:t>
      </w:r>
      <w:r w:rsidRPr="00E56087">
        <w:rPr>
          <w:b/>
          <w:i/>
        </w:rPr>
        <w:t>significantly raises the standard expected from institutional investors</w:t>
      </w:r>
      <w:r w:rsidRPr="00026080">
        <w:rPr>
          <w:i/>
        </w:rPr>
        <w:t xml:space="preserve"> and aims to create a market for stewardship driven by a demand from asset owners and </w:t>
      </w:r>
      <w:r w:rsidRPr="00E56087">
        <w:rPr>
          <w:b/>
          <w:i/>
        </w:rPr>
        <w:t>benef</w:t>
      </w:r>
      <w:r w:rsidRPr="00E56087">
        <w:rPr>
          <w:b/>
          <w:i/>
        </w:rPr>
        <w:t>iciaries</w:t>
      </w:r>
      <w:r w:rsidRPr="00026080">
        <w:rPr>
          <w:i/>
        </w:rPr>
        <w:t xml:space="preserve"> for better quality information about how asset managers and service providers fulfil their responsibilities. Those who become signatories will be making a serious commitment to maintaining and improving the quality and integrity of UK financial ma</w:t>
      </w:r>
      <w:r w:rsidRPr="00026080">
        <w:rPr>
          <w:i/>
        </w:rPr>
        <w:t>rkets. The FRC will be devoting more resource to evaluating the quality of disclosure of both policies and activities.</w:t>
      </w:r>
    </w:p>
    <w:p w:rsidR="00026080" w:rsidP="00026080">
      <w:pPr>
        <w:spacing w:after="0"/>
        <w:rPr>
          <w:rFonts w:ascii="Verdana" w:hAnsi="Verdana"/>
          <w:snapToGrid w:val="0"/>
          <w:color w:val="0C1B27" w:themeColor="text1" w:themeShade="80"/>
          <w:sz w:val="20"/>
          <w:szCs w:val="20"/>
        </w:rPr>
      </w:pPr>
    </w:p>
    <w:p w:rsidR="00F625C7" w:rsidRPr="006B2BBE" w:rsidP="00F625C7">
      <w:pPr>
        <w:spacing w:after="0"/>
      </w:pPr>
      <w:r>
        <w:rPr>
          <w:rFonts w:ascii="Verdana" w:hAnsi="Verdana"/>
          <w:snapToGrid w:val="0"/>
          <w:color w:val="0C1B27" w:themeColor="text1" w:themeShade="80"/>
          <w:sz w:val="20"/>
          <w:szCs w:val="20"/>
        </w:rPr>
        <w:t xml:space="preserve">One of the chief changes proposed </w:t>
      </w:r>
      <w:r>
        <w:rPr>
          <w:rFonts w:ascii="Verdana" w:hAnsi="Verdana"/>
          <w:snapToGrid w:val="0"/>
          <w:color w:val="0C1B27" w:themeColor="text1" w:themeShade="80"/>
          <w:sz w:val="20"/>
          <w:szCs w:val="20"/>
        </w:rPr>
        <w:t xml:space="preserve">is </w:t>
      </w:r>
      <w:r>
        <w:rPr>
          <w:rFonts w:ascii="Verdana" w:hAnsi="Verdana"/>
          <w:snapToGrid w:val="0"/>
          <w:color w:val="0C1B27" w:themeColor="text1" w:themeShade="80"/>
          <w:sz w:val="20"/>
          <w:szCs w:val="20"/>
        </w:rPr>
        <w:t>a</w:t>
      </w:r>
      <w:r>
        <w:rPr>
          <w:rFonts w:ascii="Verdana" w:hAnsi="Verdana"/>
          <w:snapToGrid w:val="0"/>
          <w:color w:val="0C1B27" w:themeColor="text1" w:themeShade="80"/>
          <w:sz w:val="20"/>
          <w:szCs w:val="20"/>
        </w:rPr>
        <w:t>n</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extension to </w:t>
      </w:r>
      <w:r>
        <w:rPr>
          <w:rFonts w:ascii="Verdana" w:hAnsi="Verdana"/>
          <w:snapToGrid w:val="0"/>
          <w:color w:val="0C1B27" w:themeColor="text1" w:themeShade="80"/>
          <w:sz w:val="20"/>
          <w:szCs w:val="20"/>
        </w:rPr>
        <w:t xml:space="preserve">current </w:t>
      </w:r>
      <w:r>
        <w:rPr>
          <w:rFonts w:ascii="Verdana" w:hAnsi="Verdana"/>
          <w:snapToGrid w:val="0"/>
          <w:color w:val="0C1B27" w:themeColor="text1" w:themeShade="80"/>
          <w:sz w:val="20"/>
          <w:szCs w:val="20"/>
        </w:rPr>
        <w:t xml:space="preserve">reporting </w:t>
      </w:r>
      <w:r>
        <w:rPr>
          <w:rFonts w:ascii="Verdana" w:hAnsi="Verdana"/>
          <w:snapToGrid w:val="0"/>
          <w:color w:val="0C1B27" w:themeColor="text1" w:themeShade="80"/>
          <w:sz w:val="20"/>
          <w:szCs w:val="20"/>
        </w:rPr>
        <w:t>requirement</w:t>
      </w:r>
      <w:r>
        <w:rPr>
          <w:rFonts w:ascii="Verdana" w:hAnsi="Verdana"/>
          <w:snapToGrid w:val="0"/>
          <w:color w:val="0C1B27" w:themeColor="text1" w:themeShade="80"/>
          <w:sz w:val="20"/>
          <w:szCs w:val="20"/>
        </w:rPr>
        <w:t>s</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which </w:t>
      </w:r>
      <w:r>
        <w:rPr>
          <w:rFonts w:ascii="Verdana" w:hAnsi="Verdana"/>
          <w:snapToGrid w:val="0"/>
          <w:color w:val="0C1B27" w:themeColor="text1" w:themeShade="80"/>
          <w:sz w:val="20"/>
          <w:szCs w:val="20"/>
        </w:rPr>
        <w:t xml:space="preserve">can be seen to </w:t>
      </w:r>
      <w:r>
        <w:rPr>
          <w:rFonts w:ascii="Verdana" w:hAnsi="Verdana"/>
          <w:snapToGrid w:val="0"/>
          <w:color w:val="0C1B27" w:themeColor="text1" w:themeShade="80"/>
          <w:sz w:val="20"/>
          <w:szCs w:val="20"/>
        </w:rPr>
        <w:t xml:space="preserve">directly </w:t>
      </w:r>
      <w:r>
        <w:rPr>
          <w:rFonts w:ascii="Verdana" w:hAnsi="Verdana"/>
          <w:snapToGrid w:val="0"/>
          <w:color w:val="0C1B27" w:themeColor="text1" w:themeShade="80"/>
          <w:sz w:val="20"/>
          <w:szCs w:val="20"/>
        </w:rPr>
        <w:t xml:space="preserve">address criticisms of </w:t>
      </w:r>
      <w:r>
        <w:rPr>
          <w:rFonts w:ascii="Verdana" w:hAnsi="Verdana"/>
          <w:snapToGrid w:val="0"/>
          <w:color w:val="0C1B27" w:themeColor="text1" w:themeShade="80"/>
          <w:sz w:val="20"/>
          <w:szCs w:val="20"/>
        </w:rPr>
        <w:t>the</w:t>
      </w:r>
      <w:r>
        <w:rPr>
          <w:rFonts w:ascii="Verdana" w:hAnsi="Verdana"/>
          <w:snapToGrid w:val="0"/>
          <w:color w:val="0C1B27" w:themeColor="text1" w:themeShade="80"/>
          <w:sz w:val="20"/>
          <w:szCs w:val="20"/>
        </w:rPr>
        <w:t xml:space="preserve"> boilerplate and box ticking approach </w:t>
      </w:r>
      <w:r>
        <w:rPr>
          <w:rFonts w:ascii="Verdana" w:hAnsi="Verdana"/>
          <w:snapToGrid w:val="0"/>
          <w:color w:val="0C1B27" w:themeColor="text1" w:themeShade="80"/>
          <w:sz w:val="20"/>
          <w:szCs w:val="20"/>
        </w:rPr>
        <w:t xml:space="preserve">seen to have developed </w:t>
      </w:r>
      <w:r>
        <w:rPr>
          <w:rFonts w:ascii="Verdana" w:hAnsi="Verdana"/>
          <w:snapToGrid w:val="0"/>
          <w:color w:val="0C1B27" w:themeColor="text1" w:themeShade="80"/>
          <w:sz w:val="20"/>
          <w:szCs w:val="20"/>
        </w:rPr>
        <w:t>under the current code</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w:t>
      </w:r>
    </w:p>
    <w:p w:rsidR="0067165E" w:rsidRPr="0067165E" w:rsidP="00F625C7">
      <w:pPr>
        <w:pStyle w:val="LPPBodytext"/>
        <w:rPr>
          <w:lang w:val="en-GB"/>
        </w:rPr>
      </w:pPr>
    </w:p>
    <w:p w:rsidR="00F625C7" w:rsidRPr="006F4900" w:rsidP="00F625C7">
      <w:pPr>
        <w:pStyle w:val="LPPBodytext"/>
        <w:rPr>
          <w:lang w:val="en-GB"/>
        </w:rPr>
      </w:pPr>
      <w:r>
        <w:t>U</w:t>
      </w:r>
      <w:r w:rsidRPr="00F625C7">
        <w:rPr>
          <w:rFonts w:eastAsiaTheme="minorHAnsi" w:cstheme="minorBidi"/>
          <w:snapToGrid w:val="0"/>
          <w:color w:val="0C1B27" w:themeColor="text1" w:themeShade="80"/>
          <w:spacing w:val="0"/>
          <w:szCs w:val="20"/>
          <w:lang w:val="en-GB" w:eastAsia="en-US"/>
        </w:rPr>
        <w:t>nder</w:t>
      </w:r>
      <w:r w:rsidRPr="00F625C7">
        <w:rPr>
          <w:rFonts w:eastAsiaTheme="minorHAnsi" w:cstheme="minorBidi"/>
          <w:snapToGrid w:val="0"/>
          <w:color w:val="0C1B27" w:themeColor="text1" w:themeShade="80"/>
          <w:spacing w:val="0"/>
          <w:szCs w:val="20"/>
          <w:lang w:val="en-GB" w:eastAsia="en-US"/>
        </w:rPr>
        <w:t xml:space="preserve"> the revised Stewardship Code</w:t>
      </w:r>
      <w:r>
        <w:rPr>
          <w:rFonts w:eastAsiaTheme="minorHAnsi" w:cstheme="minorBidi"/>
          <w:snapToGrid w:val="0"/>
          <w:color w:val="0C1B27" w:themeColor="text1" w:themeShade="80"/>
          <w:spacing w:val="0"/>
          <w:szCs w:val="20"/>
          <w:lang w:val="en-GB" w:eastAsia="en-US"/>
        </w:rPr>
        <w:t xml:space="preserve"> proposals</w:t>
      </w:r>
      <w:r w:rsidRPr="00F625C7">
        <w:rPr>
          <w:rFonts w:eastAsiaTheme="minorHAnsi" w:cstheme="minorBidi"/>
          <w:snapToGrid w:val="0"/>
          <w:color w:val="0C1B27" w:themeColor="text1" w:themeShade="80"/>
          <w:spacing w:val="0"/>
          <w:szCs w:val="20"/>
          <w:lang w:val="en-GB" w:eastAsia="en-US"/>
        </w:rPr>
        <w:t xml:space="preserve">, signatories will be required to </w:t>
      </w:r>
    </w:p>
    <w:p w:rsidR="00F625C7" w:rsidRPr="00F625C7" w:rsidP="00F625C7">
      <w:pPr>
        <w:pStyle w:val="LPPBodytext"/>
        <w:numPr>
          <w:ilvl w:val="0"/>
          <w:numId w:val="10"/>
        </w:numPr>
        <w:ind w:left="284" w:hanging="284"/>
        <w:jc w:val="left"/>
        <w:rPr>
          <w:szCs w:val="20"/>
        </w:rPr>
      </w:pPr>
      <w:r w:rsidRPr="00F625C7">
        <w:rPr>
          <w:szCs w:val="20"/>
        </w:rPr>
        <w:t>produce</w:t>
      </w:r>
      <w:r w:rsidRPr="00F625C7">
        <w:rPr>
          <w:szCs w:val="20"/>
        </w:rPr>
        <w:t xml:space="preserve"> and submit a </w:t>
      </w:r>
      <w:r w:rsidRPr="00F625C7">
        <w:rPr>
          <w:b/>
          <w:szCs w:val="20"/>
        </w:rPr>
        <w:t>Policy and Practice Statement</w:t>
      </w:r>
      <w:r w:rsidRPr="00F625C7">
        <w:rPr>
          <w:szCs w:val="20"/>
        </w:rPr>
        <w:t xml:space="preserve"> (PPS) to the FRC.  This must disclose their stewardship approach and explain how it complies with Principles and Provisions defined by the Code. It must also contain disclosure on corporate </w:t>
      </w:r>
      <w:r w:rsidRPr="00F625C7">
        <w:rPr>
          <w:szCs w:val="20"/>
          <w:lang w:val="en-GB"/>
        </w:rPr>
        <w:t>purpose, values and culture and how these enable obligations to c</w:t>
      </w:r>
      <w:r w:rsidRPr="00F625C7">
        <w:rPr>
          <w:szCs w:val="20"/>
          <w:lang w:val="en-GB"/>
        </w:rPr>
        <w:t>lients and beneficiaries to be met</w:t>
      </w:r>
      <w:r>
        <w:rPr>
          <w:szCs w:val="20"/>
          <w:lang w:val="en-GB"/>
        </w:rPr>
        <w:t>;</w:t>
      </w:r>
    </w:p>
    <w:p w:rsidR="00F625C7" w:rsidRPr="00F625C7" w:rsidP="00F625C7">
      <w:pPr>
        <w:pStyle w:val="LPPBodytext"/>
        <w:numPr>
          <w:ilvl w:val="0"/>
          <w:numId w:val="10"/>
        </w:numPr>
        <w:ind w:left="284" w:hanging="284"/>
        <w:jc w:val="left"/>
        <w:rPr>
          <w:szCs w:val="20"/>
        </w:rPr>
      </w:pPr>
      <w:r w:rsidRPr="00F625C7">
        <w:rPr>
          <w:szCs w:val="20"/>
        </w:rPr>
        <w:t>produce</w:t>
      </w:r>
      <w:r w:rsidRPr="00F625C7">
        <w:rPr>
          <w:szCs w:val="20"/>
        </w:rPr>
        <w:t xml:space="preserve"> and submit an </w:t>
      </w:r>
      <w:r w:rsidRPr="00F625C7">
        <w:rPr>
          <w:b/>
          <w:szCs w:val="20"/>
        </w:rPr>
        <w:t>Annual Activities and Outcomes Report</w:t>
      </w:r>
      <w:r w:rsidRPr="00F625C7">
        <w:rPr>
          <w:szCs w:val="20"/>
        </w:rPr>
        <w:t xml:space="preserve"> (AAOR) to the FRC. This must demonstrate and confirm </w:t>
      </w:r>
    </w:p>
    <w:p w:rsidR="00F625C7" w:rsidP="00F625C7">
      <w:pPr>
        <w:pStyle w:val="LPPBodytext"/>
        <w:numPr>
          <w:ilvl w:val="1"/>
          <w:numId w:val="10"/>
        </w:numPr>
        <w:jc w:val="left"/>
      </w:pPr>
      <w:r>
        <w:t>compliance with the approach explained in the PPS</w:t>
      </w:r>
    </w:p>
    <w:p w:rsidR="00F625C7" w:rsidP="00F625C7">
      <w:pPr>
        <w:pStyle w:val="LPPBodytext"/>
        <w:numPr>
          <w:ilvl w:val="1"/>
          <w:numId w:val="10"/>
        </w:numPr>
        <w:jc w:val="left"/>
      </w:pPr>
      <w:r>
        <w:t>activities undertaken to implement code provisions in th</w:t>
      </w:r>
      <w:r>
        <w:t xml:space="preserve">e preceding 12 months </w:t>
      </w:r>
    </w:p>
    <w:p w:rsidR="00F625C7" w:rsidP="00F625C7">
      <w:pPr>
        <w:pStyle w:val="LPPBodytext"/>
        <w:numPr>
          <w:ilvl w:val="1"/>
          <w:numId w:val="10"/>
        </w:numPr>
        <w:jc w:val="left"/>
      </w:pPr>
      <w:r>
        <w:t>evaluation of how well stewardship objectives have been met, and/or activities have enabled clients to meet their objectives</w:t>
      </w:r>
    </w:p>
    <w:p w:rsidR="00F625C7" w:rsidP="00F625C7">
      <w:pPr>
        <w:pStyle w:val="LPPBodytext"/>
        <w:numPr>
          <w:ilvl w:val="1"/>
          <w:numId w:val="10"/>
        </w:numPr>
        <w:jc w:val="left"/>
      </w:pPr>
      <w:r>
        <w:t>the</w:t>
      </w:r>
      <w:r>
        <w:t xml:space="preserve"> outcomes achieved. </w:t>
      </w:r>
    </w:p>
    <w:p w:rsidR="00F625C7" w:rsidP="00F625C7">
      <w:pPr>
        <w:pStyle w:val="LPPBodytext"/>
        <w:numPr>
          <w:ilvl w:val="0"/>
          <w:numId w:val="0"/>
        </w:numPr>
        <w:jc w:val="left"/>
      </w:pPr>
      <w:r>
        <w:t xml:space="preserve">AAORs and PPS will </w:t>
      </w:r>
      <w:r>
        <w:t xml:space="preserve">need to </w:t>
      </w:r>
      <w:r>
        <w:t>be made publicly available.</w:t>
      </w:r>
    </w:p>
    <w:p w:rsidR="008A7529" w:rsidP="004C76A3">
      <w:pPr>
        <w:spacing w:after="0"/>
        <w:rPr>
          <w:rFonts w:ascii="Verdana" w:hAnsi="Verdana"/>
          <w:snapToGrid w:val="0"/>
          <w:color w:val="0C1B27" w:themeColor="text1" w:themeShade="80"/>
          <w:sz w:val="20"/>
          <w:szCs w:val="20"/>
        </w:rPr>
      </w:pPr>
    </w:p>
    <w:p w:rsidR="004C76A3" w:rsidRPr="008A7529" w:rsidP="004C76A3">
      <w:pPr>
        <w:spacing w:after="0"/>
        <w:rPr>
          <w:rFonts w:ascii="Verdana" w:hAnsi="Verdana"/>
          <w:snapToGrid w:val="0"/>
          <w:color w:val="0C1B27" w:themeColor="text1" w:themeShade="80"/>
          <w:sz w:val="20"/>
          <w:szCs w:val="20"/>
        </w:rPr>
      </w:pPr>
      <w:r w:rsidRPr="008A7529">
        <w:rPr>
          <w:rFonts w:ascii="Verdana" w:hAnsi="Verdana"/>
          <w:snapToGrid w:val="0"/>
          <w:color w:val="0C1B27" w:themeColor="text1" w:themeShade="80"/>
          <w:sz w:val="20"/>
          <w:szCs w:val="20"/>
        </w:rPr>
        <w:t>Th</w:t>
      </w:r>
      <w:r>
        <w:rPr>
          <w:rFonts w:ascii="Verdana" w:hAnsi="Verdana"/>
          <w:snapToGrid w:val="0"/>
          <w:color w:val="0C1B27" w:themeColor="text1" w:themeShade="80"/>
          <w:sz w:val="20"/>
          <w:szCs w:val="20"/>
        </w:rPr>
        <w:t>e changes are</w:t>
      </w:r>
      <w:r w:rsidRPr="008A7529">
        <w:rPr>
          <w:rFonts w:ascii="Verdana" w:hAnsi="Verdana"/>
          <w:snapToGrid w:val="0"/>
          <w:color w:val="0C1B27" w:themeColor="text1" w:themeShade="80"/>
          <w:sz w:val="20"/>
          <w:szCs w:val="20"/>
        </w:rPr>
        <w:t xml:space="preserve"> a significant </w:t>
      </w:r>
      <w:r>
        <w:rPr>
          <w:rFonts w:ascii="Verdana" w:hAnsi="Verdana"/>
          <w:snapToGrid w:val="0"/>
          <w:color w:val="0C1B27" w:themeColor="text1" w:themeShade="80"/>
          <w:sz w:val="20"/>
          <w:szCs w:val="20"/>
        </w:rPr>
        <w:t>step up</w:t>
      </w:r>
      <w:r w:rsidRPr="008A7529">
        <w:rPr>
          <w:rFonts w:ascii="Verdana" w:hAnsi="Verdana"/>
          <w:snapToGrid w:val="0"/>
          <w:color w:val="0C1B27" w:themeColor="text1" w:themeShade="80"/>
          <w:sz w:val="20"/>
          <w:szCs w:val="20"/>
        </w:rPr>
        <w:t xml:space="preserve"> and </w:t>
      </w:r>
      <w:r>
        <w:rPr>
          <w:rFonts w:ascii="Verdana" w:hAnsi="Verdana"/>
          <w:snapToGrid w:val="0"/>
          <w:color w:val="0C1B27" w:themeColor="text1" w:themeShade="80"/>
          <w:sz w:val="20"/>
          <w:szCs w:val="20"/>
        </w:rPr>
        <w:t xml:space="preserve">will involve </w:t>
      </w:r>
      <w:r w:rsidRPr="008A7529">
        <w:rPr>
          <w:rFonts w:ascii="Verdana" w:hAnsi="Verdana"/>
          <w:snapToGrid w:val="0"/>
          <w:color w:val="0C1B27" w:themeColor="text1" w:themeShade="80"/>
          <w:sz w:val="20"/>
          <w:szCs w:val="20"/>
        </w:rPr>
        <w:t xml:space="preserve">a </w:t>
      </w:r>
      <w:r>
        <w:rPr>
          <w:rFonts w:ascii="Verdana" w:hAnsi="Verdana"/>
          <w:snapToGrid w:val="0"/>
          <w:color w:val="0C1B27" w:themeColor="text1" w:themeShade="80"/>
          <w:sz w:val="20"/>
          <w:szCs w:val="20"/>
        </w:rPr>
        <w:t xml:space="preserve">greater </w:t>
      </w:r>
      <w:r w:rsidRPr="008A7529">
        <w:rPr>
          <w:rFonts w:ascii="Verdana" w:hAnsi="Verdana"/>
          <w:snapToGrid w:val="0"/>
          <w:color w:val="0C1B27" w:themeColor="text1" w:themeShade="80"/>
          <w:sz w:val="20"/>
          <w:szCs w:val="20"/>
        </w:rPr>
        <w:t xml:space="preserve">reporting burden for LGPS pension funds which are required to be signatories to the UK Stewardship Code and </w:t>
      </w:r>
      <w:r>
        <w:rPr>
          <w:rFonts w:ascii="Verdana" w:hAnsi="Verdana"/>
          <w:snapToGrid w:val="0"/>
          <w:color w:val="0C1B27" w:themeColor="text1" w:themeShade="80"/>
          <w:sz w:val="20"/>
          <w:szCs w:val="20"/>
        </w:rPr>
        <w:t xml:space="preserve">reporting on their </w:t>
      </w:r>
      <w:r w:rsidRPr="008A7529">
        <w:rPr>
          <w:rFonts w:ascii="Verdana" w:hAnsi="Verdana"/>
          <w:snapToGrid w:val="0"/>
          <w:color w:val="0C1B27" w:themeColor="text1" w:themeShade="80"/>
          <w:sz w:val="20"/>
          <w:szCs w:val="20"/>
        </w:rPr>
        <w:t>complian</w:t>
      </w:r>
      <w:r>
        <w:rPr>
          <w:rFonts w:ascii="Verdana" w:hAnsi="Verdana"/>
          <w:snapToGrid w:val="0"/>
          <w:color w:val="0C1B27" w:themeColor="text1" w:themeShade="80"/>
          <w:sz w:val="20"/>
          <w:szCs w:val="20"/>
        </w:rPr>
        <w:t>ce</w:t>
      </w:r>
      <w:r w:rsidRPr="008A7529">
        <w:rPr>
          <w:rFonts w:ascii="Verdana" w:hAnsi="Verdana"/>
          <w:snapToGrid w:val="0"/>
          <w:color w:val="0C1B27" w:themeColor="text1" w:themeShade="80"/>
          <w:sz w:val="20"/>
          <w:szCs w:val="20"/>
        </w:rPr>
        <w:t xml:space="preserve"> with its requirements. </w:t>
      </w:r>
    </w:p>
    <w:p w:rsidR="006E295D" w:rsidP="00026080">
      <w:pPr>
        <w:spacing w:after="0"/>
        <w:rPr>
          <w:rFonts w:ascii="Verdana" w:hAnsi="Verdana"/>
          <w:snapToGrid w:val="0"/>
          <w:color w:val="0C1B27" w:themeColor="text1" w:themeShade="80"/>
          <w:sz w:val="20"/>
          <w:szCs w:val="20"/>
        </w:rPr>
      </w:pPr>
    </w:p>
    <w:p w:rsidR="00525C2E" w:rsidP="00525C2E">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A final version of the revised code</w:t>
      </w:r>
      <w:r w:rsidRPr="000A3206">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is </w:t>
      </w:r>
      <w:r>
        <w:rPr>
          <w:rFonts w:ascii="Verdana" w:hAnsi="Verdana"/>
          <w:snapToGrid w:val="0"/>
          <w:color w:val="0C1B27" w:themeColor="text1" w:themeShade="80"/>
          <w:sz w:val="20"/>
          <w:szCs w:val="20"/>
        </w:rPr>
        <w:t>still awaited</w:t>
      </w:r>
      <w:r>
        <w:rPr>
          <w:rFonts w:ascii="Verdana" w:hAnsi="Verdana"/>
          <w:snapToGrid w:val="0"/>
          <w:color w:val="0C1B27" w:themeColor="text1" w:themeShade="80"/>
          <w:sz w:val="20"/>
          <w:szCs w:val="20"/>
        </w:rPr>
        <w:t>,</w:t>
      </w:r>
      <w:r>
        <w:rPr>
          <w:rFonts w:ascii="Verdana" w:hAnsi="Verdana"/>
          <w:snapToGrid w:val="0"/>
          <w:color w:val="0C1B27" w:themeColor="text1" w:themeShade="80"/>
          <w:sz w:val="20"/>
          <w:szCs w:val="20"/>
        </w:rPr>
        <w:t xml:space="preserve"> though the timetable for adoption is very short. It is intended that a 2019 Stewardship Code will be published on 16</w:t>
      </w:r>
      <w:r w:rsidRPr="00026080">
        <w:rPr>
          <w:rFonts w:ascii="Verdana" w:hAnsi="Verdana"/>
          <w:snapToGrid w:val="0"/>
          <w:color w:val="0C1B27" w:themeColor="text1" w:themeShade="80"/>
          <w:sz w:val="20"/>
          <w:szCs w:val="20"/>
          <w:vertAlign w:val="superscript"/>
        </w:rPr>
        <w:t>th</w:t>
      </w:r>
      <w:r>
        <w:rPr>
          <w:rFonts w:ascii="Verdana" w:hAnsi="Verdana"/>
          <w:snapToGrid w:val="0"/>
          <w:color w:val="0C1B27" w:themeColor="text1" w:themeShade="80"/>
          <w:sz w:val="20"/>
          <w:szCs w:val="20"/>
        </w:rPr>
        <w:t xml:space="preserve"> July 2019 and new requirements will come into effect from that point, with first statements of compliance due to be submit</w:t>
      </w:r>
      <w:r>
        <w:rPr>
          <w:rFonts w:ascii="Verdana" w:hAnsi="Verdana"/>
          <w:snapToGrid w:val="0"/>
          <w:color w:val="0C1B27" w:themeColor="text1" w:themeShade="80"/>
          <w:sz w:val="20"/>
          <w:szCs w:val="20"/>
        </w:rPr>
        <w:t xml:space="preserve">ted </w:t>
      </w:r>
      <w:r>
        <w:rPr>
          <w:rFonts w:ascii="Verdana" w:hAnsi="Verdana"/>
          <w:snapToGrid w:val="0"/>
          <w:color w:val="0C1B27" w:themeColor="text1" w:themeShade="80"/>
          <w:sz w:val="20"/>
          <w:szCs w:val="20"/>
        </w:rPr>
        <w:t xml:space="preserve">for assessment </w:t>
      </w:r>
      <w:r>
        <w:rPr>
          <w:rFonts w:ascii="Verdana" w:hAnsi="Verdana"/>
          <w:snapToGrid w:val="0"/>
          <w:color w:val="0C1B27" w:themeColor="text1" w:themeShade="80"/>
          <w:sz w:val="20"/>
          <w:szCs w:val="20"/>
        </w:rPr>
        <w:t>by the end of the year.</w:t>
      </w:r>
      <w:r w:rsidRPr="00934C7F">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The consultation papers include only limited information on the </w:t>
      </w:r>
      <w:r>
        <w:rPr>
          <w:rFonts w:ascii="Verdana" w:hAnsi="Verdana"/>
          <w:snapToGrid w:val="0"/>
          <w:color w:val="0C1B27" w:themeColor="text1" w:themeShade="80"/>
          <w:sz w:val="20"/>
          <w:szCs w:val="20"/>
        </w:rPr>
        <w:t xml:space="preserve">FRC </w:t>
      </w:r>
      <w:r>
        <w:rPr>
          <w:rFonts w:ascii="Verdana" w:hAnsi="Verdana"/>
          <w:snapToGrid w:val="0"/>
          <w:color w:val="0C1B27" w:themeColor="text1" w:themeShade="80"/>
          <w:sz w:val="20"/>
          <w:szCs w:val="20"/>
        </w:rPr>
        <w:t>assessment process for evaluating the quality of stewardship arrangements and it is not clear what scoring or ranking mechanism will be adopted a</w:t>
      </w:r>
      <w:r>
        <w:rPr>
          <w:rFonts w:ascii="Verdana" w:hAnsi="Verdana"/>
          <w:snapToGrid w:val="0"/>
          <w:color w:val="0C1B27" w:themeColor="text1" w:themeShade="80"/>
          <w:sz w:val="20"/>
          <w:szCs w:val="20"/>
        </w:rPr>
        <w:t xml:space="preserve">nd </w:t>
      </w:r>
      <w:r>
        <w:rPr>
          <w:rFonts w:ascii="Verdana" w:hAnsi="Verdana"/>
          <w:snapToGrid w:val="0"/>
          <w:color w:val="0C1B27" w:themeColor="text1" w:themeShade="80"/>
          <w:sz w:val="20"/>
          <w:szCs w:val="20"/>
        </w:rPr>
        <w:t xml:space="preserve">what levels of </w:t>
      </w:r>
      <w:r>
        <w:rPr>
          <w:rFonts w:ascii="Verdana" w:hAnsi="Verdana"/>
          <w:snapToGrid w:val="0"/>
          <w:color w:val="0C1B27" w:themeColor="text1" w:themeShade="80"/>
          <w:sz w:val="20"/>
          <w:szCs w:val="20"/>
        </w:rPr>
        <w:t xml:space="preserve">performance will be differentiated. </w:t>
      </w:r>
    </w:p>
    <w:p w:rsidR="000A3206" w:rsidP="00525C2E">
      <w:pPr>
        <w:spacing w:after="0"/>
        <w:rPr>
          <w:rFonts w:ascii="Verdana" w:hAnsi="Verdana"/>
          <w:snapToGrid w:val="0"/>
          <w:color w:val="0C1B27" w:themeColor="text1" w:themeShade="80"/>
          <w:sz w:val="20"/>
          <w:szCs w:val="20"/>
        </w:rPr>
      </w:pPr>
    </w:p>
    <w:p w:rsidR="00026080" w:rsidP="00525C2E">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Once </w:t>
      </w:r>
      <w:r>
        <w:rPr>
          <w:rFonts w:ascii="Verdana" w:hAnsi="Verdana"/>
          <w:snapToGrid w:val="0"/>
          <w:color w:val="0C1B27" w:themeColor="text1" w:themeShade="80"/>
          <w:sz w:val="20"/>
          <w:szCs w:val="20"/>
        </w:rPr>
        <w:t>a</w:t>
      </w:r>
      <w:r>
        <w:rPr>
          <w:rFonts w:ascii="Verdana" w:hAnsi="Verdana"/>
          <w:snapToGrid w:val="0"/>
          <w:color w:val="0C1B27" w:themeColor="text1" w:themeShade="80"/>
          <w:sz w:val="20"/>
          <w:szCs w:val="20"/>
        </w:rPr>
        <w:t xml:space="preserve"> final version of </w:t>
      </w:r>
      <w:r>
        <w:rPr>
          <w:rFonts w:ascii="Verdana" w:hAnsi="Verdana"/>
          <w:snapToGrid w:val="0"/>
          <w:color w:val="0C1B27" w:themeColor="text1" w:themeShade="80"/>
          <w:sz w:val="20"/>
          <w:szCs w:val="20"/>
        </w:rPr>
        <w:t>the</w:t>
      </w:r>
      <w:r>
        <w:rPr>
          <w:rFonts w:ascii="Verdana" w:hAnsi="Verdana"/>
          <w:snapToGrid w:val="0"/>
          <w:color w:val="0C1B27" w:themeColor="text1" w:themeShade="80"/>
          <w:sz w:val="20"/>
          <w:szCs w:val="20"/>
        </w:rPr>
        <w:t xml:space="preserve"> revised Code </w:t>
      </w:r>
      <w:r>
        <w:rPr>
          <w:rFonts w:ascii="Verdana" w:hAnsi="Verdana"/>
          <w:snapToGrid w:val="0"/>
          <w:color w:val="0C1B27" w:themeColor="text1" w:themeShade="80"/>
          <w:sz w:val="20"/>
          <w:szCs w:val="20"/>
        </w:rPr>
        <w:t xml:space="preserve">(and accompanying guidance) </w:t>
      </w:r>
      <w:r>
        <w:rPr>
          <w:rFonts w:ascii="Verdana" w:hAnsi="Verdana"/>
          <w:snapToGrid w:val="0"/>
          <w:color w:val="0C1B27" w:themeColor="text1" w:themeShade="80"/>
          <w:sz w:val="20"/>
          <w:szCs w:val="20"/>
        </w:rPr>
        <w:t>ha</w:t>
      </w:r>
      <w:r>
        <w:rPr>
          <w:rFonts w:ascii="Verdana" w:hAnsi="Verdana"/>
          <w:snapToGrid w:val="0"/>
          <w:color w:val="0C1B27" w:themeColor="text1" w:themeShade="80"/>
          <w:sz w:val="20"/>
          <w:szCs w:val="20"/>
        </w:rPr>
        <w:t>ve</w:t>
      </w:r>
      <w:r>
        <w:rPr>
          <w:rFonts w:ascii="Verdana" w:hAnsi="Verdana"/>
          <w:snapToGrid w:val="0"/>
          <w:color w:val="0C1B27" w:themeColor="text1" w:themeShade="80"/>
          <w:sz w:val="20"/>
          <w:szCs w:val="20"/>
        </w:rPr>
        <w:t xml:space="preserve"> been published, </w:t>
      </w:r>
      <w:r>
        <w:rPr>
          <w:rFonts w:ascii="Verdana" w:hAnsi="Verdana"/>
          <w:snapToGrid w:val="0"/>
          <w:color w:val="0C1B27" w:themeColor="text1" w:themeShade="80"/>
          <w:sz w:val="20"/>
          <w:szCs w:val="20"/>
        </w:rPr>
        <w:t xml:space="preserve">LCPF will need to revisit </w:t>
      </w:r>
      <w:r>
        <w:rPr>
          <w:rFonts w:ascii="Verdana" w:hAnsi="Verdana"/>
          <w:snapToGrid w:val="0"/>
          <w:color w:val="0C1B27" w:themeColor="text1" w:themeShade="80"/>
          <w:sz w:val="20"/>
          <w:szCs w:val="20"/>
        </w:rPr>
        <w:t>the</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Fund’s </w:t>
      </w:r>
      <w:r>
        <w:rPr>
          <w:rFonts w:ascii="Verdana" w:hAnsi="Verdana"/>
          <w:snapToGrid w:val="0"/>
          <w:color w:val="0C1B27" w:themeColor="text1" w:themeShade="80"/>
          <w:sz w:val="20"/>
          <w:szCs w:val="20"/>
        </w:rPr>
        <w:t xml:space="preserve">current </w:t>
      </w:r>
      <w:r>
        <w:rPr>
          <w:rFonts w:ascii="Verdana" w:hAnsi="Verdana"/>
          <w:snapToGrid w:val="0"/>
          <w:color w:val="0C1B27" w:themeColor="text1" w:themeShade="80"/>
          <w:sz w:val="20"/>
          <w:szCs w:val="20"/>
        </w:rPr>
        <w:t xml:space="preserve">statement of compliance </w:t>
      </w:r>
      <w:r>
        <w:rPr>
          <w:rFonts w:ascii="Verdana" w:hAnsi="Verdana"/>
          <w:snapToGrid w:val="0"/>
          <w:color w:val="0C1B27" w:themeColor="text1" w:themeShade="80"/>
          <w:sz w:val="20"/>
          <w:szCs w:val="20"/>
        </w:rPr>
        <w:t>and</w:t>
      </w:r>
      <w:r>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address new requirements for </w:t>
      </w:r>
      <w:r>
        <w:rPr>
          <w:rFonts w:ascii="Verdana" w:hAnsi="Verdana"/>
          <w:snapToGrid w:val="0"/>
          <w:color w:val="0C1B27" w:themeColor="text1" w:themeShade="80"/>
          <w:sz w:val="20"/>
          <w:szCs w:val="20"/>
        </w:rPr>
        <w:t xml:space="preserve">considerably </w:t>
      </w:r>
      <w:r>
        <w:rPr>
          <w:rFonts w:ascii="Verdana" w:hAnsi="Verdana"/>
          <w:snapToGrid w:val="0"/>
          <w:color w:val="0C1B27" w:themeColor="text1" w:themeShade="80"/>
          <w:sz w:val="20"/>
          <w:szCs w:val="20"/>
        </w:rPr>
        <w:t>more detailed disclosure</w:t>
      </w:r>
      <w:r>
        <w:rPr>
          <w:rFonts w:ascii="Verdana" w:hAnsi="Verdana"/>
          <w:snapToGrid w:val="0"/>
          <w:color w:val="0C1B27" w:themeColor="text1" w:themeShade="80"/>
          <w:sz w:val="20"/>
          <w:szCs w:val="20"/>
        </w:rPr>
        <w:t xml:space="preserve">. </w:t>
      </w:r>
    </w:p>
    <w:p w:rsidR="00026080" w:rsidP="00026080">
      <w:pPr>
        <w:spacing w:after="0"/>
        <w:rPr>
          <w:rFonts w:ascii="Verdana" w:hAnsi="Verdana"/>
          <w:snapToGrid w:val="0"/>
          <w:color w:val="0C1B27" w:themeColor="text1" w:themeShade="80"/>
          <w:sz w:val="20"/>
          <w:szCs w:val="20"/>
        </w:rPr>
      </w:pPr>
    </w:p>
    <w:p w:rsidR="00281952" w:rsidP="00281952">
      <w:pPr>
        <w:spacing w:after="0"/>
        <w:rPr>
          <w:rFonts w:ascii="Verdana" w:hAnsi="Verdana"/>
          <w:snapToGrid w:val="0"/>
          <w:color w:val="0C1B27" w:themeColor="text1" w:themeShade="80"/>
          <w:sz w:val="20"/>
          <w:szCs w:val="20"/>
        </w:rPr>
      </w:pPr>
    </w:p>
    <w:p w:rsidR="000747E4" w:rsidRPr="00D40680" w:rsidP="000747E4">
      <w:pPr>
        <w:pStyle w:val="ListParagraph"/>
        <w:numPr>
          <w:ilvl w:val="0"/>
          <w:numId w:val="6"/>
        </w:numPr>
        <w:spacing w:after="0"/>
        <w:rPr>
          <w:rFonts w:ascii="Verdana" w:hAnsi="Verdana"/>
          <w:snapToGrid w:val="0"/>
          <w:color w:val="0C1B27" w:themeColor="text1" w:themeShade="80"/>
          <w:sz w:val="20"/>
          <w:szCs w:val="20"/>
        </w:rPr>
      </w:pPr>
      <w:r w:rsidRPr="00D40680">
        <w:rPr>
          <w:rFonts w:ascii="Verdana" w:hAnsi="Verdana"/>
          <w:sz w:val="20"/>
          <w:szCs w:val="20"/>
        </w:rPr>
        <w:t xml:space="preserve">LPP: First </w:t>
      </w:r>
      <w:r w:rsidRPr="00D40680">
        <w:rPr>
          <w:rFonts w:ascii="Verdana" w:hAnsi="Verdana"/>
          <w:sz w:val="20"/>
          <w:szCs w:val="20"/>
        </w:rPr>
        <w:t>detailed</w:t>
      </w:r>
      <w:r w:rsidRPr="00D40680">
        <w:rPr>
          <w:rFonts w:ascii="Verdana" w:hAnsi="Verdana"/>
          <w:sz w:val="20"/>
          <w:szCs w:val="20"/>
        </w:rPr>
        <w:t xml:space="preserve"> reporting against the Principles of Responsible Investment</w:t>
      </w:r>
    </w:p>
    <w:p w:rsidR="00D40680" w:rsidP="00281952">
      <w:pPr>
        <w:spacing w:after="0"/>
      </w:pPr>
    </w:p>
    <w:p w:rsidR="00DD00B3" w:rsidP="00281952">
      <w:pPr>
        <w:spacing w:after="0"/>
        <w:rPr>
          <w:rFonts w:ascii="Verdana" w:hAnsi="Verdana"/>
          <w:sz w:val="20"/>
          <w:szCs w:val="20"/>
        </w:rPr>
      </w:pPr>
      <w:r w:rsidRPr="00DD00B3">
        <w:t>LPP became a PRI signatory in July 2018 and</w:t>
      </w:r>
      <w:r w:rsidRPr="00DF1A82">
        <w:t xml:space="preserve"> report</w:t>
      </w:r>
      <w:r>
        <w:t>ed</w:t>
      </w:r>
      <w:r w:rsidRPr="00DF1A82">
        <w:t xml:space="preserve"> </w:t>
      </w:r>
      <w:r>
        <w:t xml:space="preserve">in detail </w:t>
      </w:r>
      <w:r w:rsidRPr="00DF1A82">
        <w:t>against the PRI</w:t>
      </w:r>
      <w:r>
        <w:t xml:space="preserve"> framework for the first time in March 2019</w:t>
      </w:r>
      <w:r>
        <w:t xml:space="preserve"> </w:t>
      </w:r>
      <w:r>
        <w:rPr>
          <w:rFonts w:ascii="Verdana" w:hAnsi="Verdana"/>
          <w:sz w:val="20"/>
          <w:szCs w:val="20"/>
        </w:rPr>
        <w:t>(cover</w:t>
      </w:r>
      <w:r>
        <w:rPr>
          <w:rFonts w:ascii="Verdana" w:hAnsi="Verdana"/>
          <w:sz w:val="20"/>
          <w:szCs w:val="20"/>
        </w:rPr>
        <w:t>ing</w:t>
      </w:r>
      <w:r>
        <w:rPr>
          <w:rFonts w:ascii="Verdana" w:hAnsi="Verdana"/>
          <w:sz w:val="20"/>
          <w:szCs w:val="20"/>
        </w:rPr>
        <w:t xml:space="preserve"> the period to 31 December 2018). The outcome of th</w:t>
      </w:r>
      <w:r>
        <w:rPr>
          <w:rFonts w:ascii="Verdana" w:hAnsi="Verdana"/>
          <w:sz w:val="20"/>
          <w:szCs w:val="20"/>
        </w:rPr>
        <w:t xml:space="preserve">e </w:t>
      </w:r>
      <w:r>
        <w:rPr>
          <w:rFonts w:ascii="Verdana" w:hAnsi="Verdana"/>
          <w:sz w:val="20"/>
          <w:szCs w:val="20"/>
        </w:rPr>
        <w:t xml:space="preserve">annual </w:t>
      </w:r>
      <w:r>
        <w:rPr>
          <w:rFonts w:ascii="Verdana" w:hAnsi="Verdana"/>
          <w:sz w:val="20"/>
          <w:szCs w:val="20"/>
        </w:rPr>
        <w:t>reporting</w:t>
      </w:r>
      <w:r>
        <w:rPr>
          <w:rFonts w:ascii="Verdana" w:hAnsi="Verdana"/>
          <w:sz w:val="20"/>
          <w:szCs w:val="20"/>
        </w:rPr>
        <w:t xml:space="preserve"> process </w:t>
      </w:r>
      <w:r>
        <w:rPr>
          <w:rFonts w:ascii="Verdana" w:hAnsi="Verdana"/>
          <w:sz w:val="20"/>
          <w:szCs w:val="20"/>
        </w:rPr>
        <w:t>is</w:t>
      </w:r>
      <w:r>
        <w:rPr>
          <w:rFonts w:ascii="Verdana" w:hAnsi="Verdana"/>
          <w:sz w:val="20"/>
          <w:szCs w:val="20"/>
        </w:rPr>
        <w:t xml:space="preserve"> a publicly available </w:t>
      </w:r>
      <w:r w:rsidRPr="00B114FC">
        <w:rPr>
          <w:rFonts w:ascii="Verdana" w:hAnsi="Verdana"/>
          <w:sz w:val="20"/>
          <w:szCs w:val="20"/>
        </w:rPr>
        <w:t xml:space="preserve">Transparency Report </w:t>
      </w:r>
      <w:r>
        <w:rPr>
          <w:rFonts w:ascii="Verdana" w:hAnsi="Verdana"/>
          <w:sz w:val="20"/>
          <w:szCs w:val="20"/>
        </w:rPr>
        <w:t xml:space="preserve">for each signatory </w:t>
      </w:r>
      <w:r>
        <w:rPr>
          <w:rFonts w:ascii="Verdana" w:hAnsi="Verdana"/>
          <w:sz w:val="20"/>
          <w:szCs w:val="20"/>
        </w:rPr>
        <w:t xml:space="preserve">which will be </w:t>
      </w:r>
      <w:r>
        <w:rPr>
          <w:rFonts w:ascii="Verdana" w:hAnsi="Verdana"/>
          <w:sz w:val="20"/>
          <w:szCs w:val="20"/>
        </w:rPr>
        <w:t>accessible</w:t>
      </w:r>
      <w:r w:rsidRPr="00B114FC">
        <w:rPr>
          <w:rFonts w:ascii="Verdana" w:hAnsi="Verdana"/>
          <w:sz w:val="20"/>
          <w:szCs w:val="20"/>
        </w:rPr>
        <w:t xml:space="preserve"> from</w:t>
      </w:r>
      <w:r>
        <w:rPr>
          <w:rFonts w:ascii="Verdana" w:hAnsi="Verdana"/>
          <w:sz w:val="20"/>
          <w:szCs w:val="20"/>
        </w:rPr>
        <w:t xml:space="preserve"> the PRI website</w:t>
      </w:r>
      <w:r>
        <w:rPr>
          <w:rFonts w:ascii="Verdana" w:hAnsi="Verdana"/>
          <w:sz w:val="20"/>
          <w:szCs w:val="20"/>
        </w:rPr>
        <w:t xml:space="preserve"> in due course. Separately, LPP will receive</w:t>
      </w:r>
      <w:r>
        <w:rPr>
          <w:rFonts w:ascii="Verdana" w:hAnsi="Verdana"/>
          <w:sz w:val="20"/>
          <w:szCs w:val="20"/>
        </w:rPr>
        <w:t xml:space="preserve"> a confidential Assessment</w:t>
      </w:r>
      <w:r>
        <w:rPr>
          <w:rFonts w:ascii="Verdana" w:hAnsi="Verdana"/>
          <w:sz w:val="20"/>
          <w:szCs w:val="20"/>
        </w:rPr>
        <w:t xml:space="preserve"> Report</w:t>
      </w:r>
      <w:r>
        <w:rPr>
          <w:rFonts w:ascii="Verdana" w:hAnsi="Verdana"/>
          <w:sz w:val="20"/>
          <w:szCs w:val="20"/>
        </w:rPr>
        <w:t xml:space="preserve"> provid</w:t>
      </w:r>
      <w:r>
        <w:rPr>
          <w:rFonts w:ascii="Verdana" w:hAnsi="Verdana"/>
          <w:sz w:val="20"/>
          <w:szCs w:val="20"/>
        </w:rPr>
        <w:t>ing</w:t>
      </w:r>
      <w:r>
        <w:rPr>
          <w:rFonts w:ascii="Verdana" w:hAnsi="Verdana"/>
          <w:sz w:val="20"/>
          <w:szCs w:val="20"/>
        </w:rPr>
        <w:t xml:space="preserve"> a relative score based on the PRI’s evaluation of the arrangements and activities described.</w:t>
      </w:r>
    </w:p>
    <w:p w:rsidR="00200CC3" w:rsidP="00281952">
      <w:pPr>
        <w:spacing w:after="0"/>
        <w:rPr>
          <w:color w:val="0070C0"/>
        </w:rPr>
      </w:pPr>
    </w:p>
    <w:p w:rsidR="00200CC3" w:rsidRPr="00200CC3" w:rsidP="00281952">
      <w:pPr>
        <w:spacing w:after="0"/>
        <w:rPr>
          <w:rFonts w:ascii="Verdana" w:hAnsi="Verdana"/>
          <w:sz w:val="20"/>
          <w:szCs w:val="20"/>
        </w:rPr>
      </w:pPr>
      <w:r w:rsidRPr="00200CC3">
        <w:rPr>
          <w:rFonts w:ascii="Verdana" w:hAnsi="Verdana"/>
          <w:sz w:val="20"/>
          <w:szCs w:val="20"/>
        </w:rPr>
        <w:t xml:space="preserve">Reporting to the PRI </w:t>
      </w:r>
      <w:r>
        <w:rPr>
          <w:rFonts w:ascii="Verdana" w:hAnsi="Verdana"/>
          <w:sz w:val="20"/>
          <w:szCs w:val="20"/>
        </w:rPr>
        <w:t xml:space="preserve">significantly </w:t>
      </w:r>
      <w:r>
        <w:rPr>
          <w:rFonts w:ascii="Verdana" w:hAnsi="Verdana"/>
          <w:sz w:val="20"/>
          <w:szCs w:val="20"/>
        </w:rPr>
        <w:t xml:space="preserve">extends the level of information being publicly released on LPP’s approach to stewardship and RI </w:t>
      </w:r>
      <w:r>
        <w:rPr>
          <w:rFonts w:ascii="Verdana" w:hAnsi="Verdana"/>
          <w:sz w:val="20"/>
          <w:szCs w:val="20"/>
        </w:rPr>
        <w:t>and</w:t>
      </w:r>
      <w:r>
        <w:rPr>
          <w:rFonts w:ascii="Verdana" w:hAnsi="Verdana"/>
          <w:sz w:val="20"/>
          <w:szCs w:val="20"/>
        </w:rPr>
        <w:t xml:space="preserve"> </w:t>
      </w:r>
      <w:r>
        <w:rPr>
          <w:rFonts w:ascii="Verdana" w:hAnsi="Verdana"/>
          <w:sz w:val="20"/>
          <w:szCs w:val="20"/>
        </w:rPr>
        <w:t>gives gr</w:t>
      </w:r>
      <w:r>
        <w:rPr>
          <w:rFonts w:ascii="Verdana" w:hAnsi="Verdana"/>
          <w:sz w:val="20"/>
          <w:szCs w:val="20"/>
        </w:rPr>
        <w:t xml:space="preserve">eater context to our policies and examples of our actions in practice which contribute to supporting </w:t>
      </w:r>
      <w:r>
        <w:rPr>
          <w:rFonts w:ascii="Verdana" w:hAnsi="Verdana"/>
          <w:sz w:val="20"/>
          <w:szCs w:val="20"/>
        </w:rPr>
        <w:t>greater transparency</w:t>
      </w:r>
      <w:r>
        <w:rPr>
          <w:rFonts w:ascii="Verdana" w:hAnsi="Verdana"/>
          <w:sz w:val="20"/>
          <w:szCs w:val="20"/>
        </w:rPr>
        <w:t>.</w:t>
      </w:r>
    </w:p>
    <w:sectPr w:rsidSect="003606C9">
      <w:footerReference w:type="default" r:id="rId9"/>
      <w:headerReference w:type="first" r:id="rId10"/>
      <w:pgSz w:w="11906" w:h="16838"/>
      <w:pgMar w:top="993" w:right="1440" w:bottom="709"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Seravek-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449">
    <w:pPr>
      <w:pStyle w:val="Footer"/>
    </w:pPr>
  </w:p>
  <w:p w:rsidR="0047744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449">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35" name="Picture 35"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22684" name="Picture 1" descr="C:\Users\sarah.vanson\AppData\Local\Microsoft\Windows\Temporary Internet Files\Content.Word\LPP JPEG.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A2380"/>
    <w:multiLevelType w:val="hybridMultilevel"/>
    <w:tmpl w:val="394C9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6731BD"/>
    <w:multiLevelType w:val="hybridMultilevel"/>
    <w:tmpl w:val="CF8224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444BBF"/>
    <w:multiLevelType w:val="hybridMultilevel"/>
    <w:tmpl w:val="6A84AB34"/>
    <w:lvl w:ilvl="0">
      <w:start w:val="1"/>
      <w:numFmt w:val="decimal"/>
      <w:pStyle w:val="treb"/>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4D2CDD"/>
    <w:multiLevelType w:val="hybridMultilevel"/>
    <w:tmpl w:val="CA1AD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4A5E66"/>
    <w:multiLevelType w:val="hybridMultilevel"/>
    <w:tmpl w:val="53A65D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1121C39"/>
    <w:multiLevelType w:val="multilevel"/>
    <w:tmpl w:val="F27C0598"/>
    <w:lvl w:ilvl="0">
      <w:start w:val="1"/>
      <w:numFmt w:val="none"/>
      <w:pStyle w:val="LPPBodytext"/>
      <w:suff w:val="nothing"/>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5DD0325"/>
    <w:multiLevelType w:val="hybridMultilevel"/>
    <w:tmpl w:val="8FC64B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FF769C9"/>
    <w:multiLevelType w:val="hybridMultilevel"/>
    <w:tmpl w:val="A64C4B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7BBF"/>
    <w:rPr>
      <w:sz w:val="16"/>
      <w:szCs w:val="16"/>
    </w:rPr>
  </w:style>
  <w:style w:type="paragraph" w:styleId="CommentText">
    <w:name w:val="annotation text"/>
    <w:basedOn w:val="Normal"/>
    <w:link w:val="CommentTextChar"/>
    <w:uiPriority w:val="99"/>
    <w:semiHidden/>
    <w:unhideWhenUsed/>
    <w:rsid w:val="00E07BBF"/>
    <w:pPr>
      <w:spacing w:line="240" w:lineRule="auto"/>
    </w:pPr>
    <w:rPr>
      <w:sz w:val="20"/>
      <w:szCs w:val="20"/>
    </w:rPr>
  </w:style>
  <w:style w:type="character" w:customStyle="1" w:styleId="CommentTextChar">
    <w:name w:val="Comment Text Char"/>
    <w:basedOn w:val="DefaultParagraphFont"/>
    <w:link w:val="CommentText"/>
    <w:uiPriority w:val="99"/>
    <w:semiHidden/>
    <w:rsid w:val="00E07BBF"/>
    <w:rPr>
      <w:sz w:val="20"/>
      <w:szCs w:val="20"/>
    </w:rPr>
  </w:style>
  <w:style w:type="paragraph" w:styleId="CommentSubject">
    <w:name w:val="annotation subject"/>
    <w:basedOn w:val="CommentText"/>
    <w:next w:val="CommentText"/>
    <w:link w:val="CommentSubjectChar"/>
    <w:uiPriority w:val="99"/>
    <w:semiHidden/>
    <w:unhideWhenUsed/>
    <w:rsid w:val="00E07BBF"/>
    <w:rPr>
      <w:b/>
      <w:bCs/>
    </w:rPr>
  </w:style>
  <w:style w:type="character" w:customStyle="1" w:styleId="CommentSubjectChar">
    <w:name w:val="Comment Subject Char"/>
    <w:basedOn w:val="CommentTextChar"/>
    <w:link w:val="CommentSubject"/>
    <w:uiPriority w:val="99"/>
    <w:semiHidden/>
    <w:rsid w:val="00E07BBF"/>
    <w:rPr>
      <w:b/>
      <w:bCs/>
      <w:sz w:val="20"/>
      <w:szCs w:val="20"/>
    </w:rPr>
  </w:style>
  <w:style w:type="character" w:customStyle="1" w:styleId="UnresolvedMention">
    <w:name w:val="Unresolved Mention"/>
    <w:basedOn w:val="DefaultParagraphFont"/>
    <w:uiPriority w:val="99"/>
    <w:semiHidden/>
    <w:unhideWhenUsed/>
    <w:rsid w:val="00011376"/>
    <w:rPr>
      <w:color w:val="808080"/>
      <w:shd w:val="clear" w:color="auto" w:fill="E6E6E6"/>
    </w:rPr>
  </w:style>
  <w:style w:type="character" w:customStyle="1" w:styleId="BodyCopyChar">
    <w:name w:val="Body Copy Char"/>
    <w:basedOn w:val="DefaultParagraphFont"/>
    <w:link w:val="BodyCopy"/>
    <w:locked/>
    <w:rsid w:val="00177D2D"/>
    <w:rPr>
      <w:rFonts w:ascii="BentonSans Book" w:hAnsi="BentonSans Book"/>
    </w:rPr>
  </w:style>
  <w:style w:type="paragraph" w:customStyle="1" w:styleId="BodyCopy">
    <w:name w:val="Body Copy"/>
    <w:basedOn w:val="Normal"/>
    <w:link w:val="BodyCopyChar"/>
    <w:rsid w:val="00177D2D"/>
    <w:pPr>
      <w:spacing w:after="0" w:line="280" w:lineRule="atLeast"/>
    </w:pPr>
    <w:rPr>
      <w:rFonts w:ascii="BentonSans Book" w:hAnsi="BentonSans Book"/>
    </w:rPr>
  </w:style>
  <w:style w:type="character" w:customStyle="1" w:styleId="geninfoval1">
    <w:name w:val="geninfoval1"/>
    <w:basedOn w:val="DefaultParagraphFont"/>
    <w:rsid w:val="004032C9"/>
    <w:rPr>
      <w:sz w:val="18"/>
      <w:szCs w:val="18"/>
    </w:rPr>
  </w:style>
  <w:style w:type="paragraph" w:customStyle="1" w:styleId="LPPBodytext">
    <w:name w:val="LPP Body text"/>
    <w:basedOn w:val="Normal"/>
    <w:link w:val="LPPBodytextChar"/>
    <w:qFormat/>
    <w:rsid w:val="008706D6"/>
    <w:pPr>
      <w:numPr>
        <w:numId w:val="7"/>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706D6"/>
    <w:rPr>
      <w:rFonts w:ascii="Verdana" w:eastAsia="Times New Roman" w:hAnsi="Verdana" w:cs="Times New Roman"/>
      <w:spacing w:val="-6"/>
      <w:sz w:val="20"/>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79CB-0D84-4A10-9A36-3D99F9BD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3</cp:revision>
  <cp:lastPrinted>2019-05-30T08:42:00Z</cp:lastPrinted>
  <dcterms:created xsi:type="dcterms:W3CDTF">2019-06-03T11:13:00Z</dcterms:created>
  <dcterms:modified xsi:type="dcterms:W3CDTF">2019-06-07T10:11:00Z</dcterms:modified>
</cp:coreProperties>
</file>